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4DB08" w14:textId="7DF5493D" w:rsidR="00D86A77" w:rsidRDefault="00D86A77" w:rsidP="00D86A77">
      <w:pPr>
        <w:jc w:val="right"/>
        <w:rPr>
          <w:rFonts w:ascii="Arial" w:hAnsi="Arial" w:cs="Arial"/>
          <w:b/>
          <w:bCs/>
        </w:rPr>
      </w:pPr>
      <w:r>
        <w:rPr>
          <w:rFonts w:ascii="Arial" w:hAnsi="Arial" w:cs="Arial"/>
          <w:b/>
          <w:bCs/>
        </w:rPr>
        <w:t>Appendix 3</w:t>
      </w:r>
    </w:p>
    <w:p w14:paraId="1E42F819" w14:textId="77777777" w:rsidR="00D86A77" w:rsidRDefault="00D86A77" w:rsidP="00097C79">
      <w:pPr>
        <w:jc w:val="center"/>
        <w:rPr>
          <w:rFonts w:ascii="Arial" w:hAnsi="Arial" w:cs="Arial"/>
          <w:b/>
          <w:bCs/>
        </w:rPr>
      </w:pPr>
    </w:p>
    <w:p w14:paraId="524A5E13" w14:textId="5593B2E6" w:rsidR="00003CFA" w:rsidRPr="00F67264" w:rsidRDefault="00C60805" w:rsidP="00097C79">
      <w:pPr>
        <w:jc w:val="center"/>
        <w:rPr>
          <w:rFonts w:ascii="Arial" w:hAnsi="Arial" w:cs="Arial"/>
          <w:b/>
          <w:bCs/>
        </w:rPr>
      </w:pPr>
      <w:r>
        <w:rPr>
          <w:rFonts w:ascii="Arial" w:hAnsi="Arial" w:cs="Arial"/>
          <w:b/>
          <w:bCs/>
        </w:rPr>
        <w:t xml:space="preserve">Disability </w:t>
      </w:r>
      <w:r w:rsidR="00097C79" w:rsidRPr="00F67264">
        <w:rPr>
          <w:rFonts w:ascii="Arial" w:hAnsi="Arial" w:cs="Arial"/>
          <w:b/>
          <w:bCs/>
        </w:rPr>
        <w:t>Pay Gap Report</w:t>
      </w:r>
    </w:p>
    <w:p w14:paraId="3C44F1FC" w14:textId="2DF61CED" w:rsidR="00097C79" w:rsidRPr="00F67264" w:rsidRDefault="00097C79" w:rsidP="00097C79">
      <w:pPr>
        <w:jc w:val="center"/>
        <w:rPr>
          <w:rFonts w:ascii="Arial" w:hAnsi="Arial" w:cs="Arial"/>
          <w:b/>
          <w:bCs/>
        </w:rPr>
      </w:pPr>
      <w:r w:rsidRPr="00F67264">
        <w:rPr>
          <w:rFonts w:ascii="Arial" w:hAnsi="Arial" w:cs="Arial"/>
          <w:b/>
          <w:bCs/>
        </w:rPr>
        <w:t>As of 31 March 2025</w:t>
      </w:r>
    </w:p>
    <w:p w14:paraId="540E952A" w14:textId="77777777" w:rsidR="00097C79" w:rsidRPr="00F67264" w:rsidRDefault="00097C79" w:rsidP="00097C79">
      <w:pPr>
        <w:jc w:val="center"/>
        <w:rPr>
          <w:rFonts w:ascii="Arial" w:hAnsi="Arial" w:cs="Arial"/>
        </w:rPr>
      </w:pPr>
    </w:p>
    <w:p w14:paraId="39A5FFD8" w14:textId="1454C37C" w:rsidR="00097C79" w:rsidRPr="00F67264" w:rsidRDefault="00097C79" w:rsidP="00097C79">
      <w:pPr>
        <w:rPr>
          <w:rFonts w:ascii="Arial" w:hAnsi="Arial" w:cs="Arial"/>
          <w:b/>
          <w:bCs/>
        </w:rPr>
      </w:pPr>
      <w:r w:rsidRPr="00F67264">
        <w:rPr>
          <w:rFonts w:ascii="Arial" w:hAnsi="Arial" w:cs="Arial"/>
          <w:b/>
          <w:bCs/>
        </w:rPr>
        <w:t>Introduction</w:t>
      </w:r>
    </w:p>
    <w:p w14:paraId="78EEBC82" w14:textId="415504E6" w:rsidR="00097C79" w:rsidRDefault="00097C79" w:rsidP="00097C79">
      <w:pPr>
        <w:rPr>
          <w:rFonts w:ascii="Arial" w:hAnsi="Arial" w:cs="Arial"/>
        </w:rPr>
      </w:pPr>
      <w:r w:rsidRPr="00097C79">
        <w:rPr>
          <w:rFonts w:ascii="Arial" w:hAnsi="Arial" w:cs="Arial"/>
        </w:rPr>
        <w:t xml:space="preserve">This report presents the </w:t>
      </w:r>
      <w:r w:rsidR="00D34210">
        <w:rPr>
          <w:rFonts w:ascii="Arial" w:hAnsi="Arial" w:cs="Arial"/>
        </w:rPr>
        <w:t>disability</w:t>
      </w:r>
      <w:r w:rsidRPr="00097C79">
        <w:rPr>
          <w:rFonts w:ascii="Arial" w:hAnsi="Arial" w:cs="Arial"/>
        </w:rPr>
        <w:t xml:space="preserve"> pay gap analysis for </w:t>
      </w:r>
      <w:r>
        <w:rPr>
          <w:rFonts w:ascii="Arial" w:hAnsi="Arial" w:cs="Arial"/>
        </w:rPr>
        <w:t xml:space="preserve">Tamworth Borough </w:t>
      </w:r>
      <w:r w:rsidRPr="00097C79">
        <w:rPr>
          <w:rFonts w:ascii="Arial" w:hAnsi="Arial" w:cs="Arial"/>
        </w:rPr>
        <w:t xml:space="preserve">Council, </w:t>
      </w:r>
      <w:r w:rsidR="002C3917">
        <w:rPr>
          <w:rFonts w:ascii="Arial" w:hAnsi="Arial" w:cs="Arial"/>
        </w:rPr>
        <w:t xml:space="preserve">based </w:t>
      </w:r>
      <w:r w:rsidR="00D86A77">
        <w:rPr>
          <w:rFonts w:ascii="Arial" w:hAnsi="Arial" w:cs="Arial"/>
        </w:rPr>
        <w:t xml:space="preserve">on </w:t>
      </w:r>
      <w:r w:rsidR="00D86A77" w:rsidRPr="00097C79">
        <w:rPr>
          <w:rFonts w:ascii="Arial" w:hAnsi="Arial" w:cs="Arial"/>
        </w:rPr>
        <w:t>data</w:t>
      </w:r>
      <w:r w:rsidRPr="00097C79">
        <w:rPr>
          <w:rFonts w:ascii="Arial" w:hAnsi="Arial" w:cs="Arial"/>
        </w:rPr>
        <w:t xml:space="preserve"> as of 31 March 2025. </w:t>
      </w:r>
      <w:r>
        <w:rPr>
          <w:rFonts w:ascii="Arial" w:hAnsi="Arial" w:cs="Arial"/>
        </w:rPr>
        <w:t xml:space="preserve">The </w:t>
      </w:r>
      <w:r w:rsidR="002C3917">
        <w:rPr>
          <w:rFonts w:ascii="Arial" w:hAnsi="Arial" w:cs="Arial"/>
        </w:rPr>
        <w:t xml:space="preserve">methodology used aligns with </w:t>
      </w:r>
      <w:r>
        <w:rPr>
          <w:rFonts w:ascii="Arial" w:hAnsi="Arial" w:cs="Arial"/>
        </w:rPr>
        <w:t>national guidance for gender pay gap</w:t>
      </w:r>
      <w:r w:rsidR="002C3917">
        <w:rPr>
          <w:rFonts w:ascii="Arial" w:hAnsi="Arial" w:cs="Arial"/>
        </w:rPr>
        <w:t xml:space="preserve"> reporting</w:t>
      </w:r>
      <w:r>
        <w:rPr>
          <w:rFonts w:ascii="Arial" w:hAnsi="Arial" w:cs="Arial"/>
        </w:rPr>
        <w:t xml:space="preserve">.  </w:t>
      </w:r>
      <w:r w:rsidR="002C3917">
        <w:rPr>
          <w:rFonts w:ascii="Arial" w:hAnsi="Arial" w:cs="Arial"/>
        </w:rPr>
        <w:t>While disability pay gap reporting is currently voluntary, an increasin</w:t>
      </w:r>
      <w:r w:rsidR="001448C4">
        <w:rPr>
          <w:rFonts w:ascii="Arial" w:hAnsi="Arial" w:cs="Arial"/>
        </w:rPr>
        <w:t xml:space="preserve">g number of progressive councils are adopting it to promote transparency and inclusion.  </w:t>
      </w:r>
    </w:p>
    <w:p w14:paraId="3CBAC321" w14:textId="5EBCE677" w:rsidR="00097C79" w:rsidRDefault="00097C79" w:rsidP="00097C79">
      <w:pPr>
        <w:rPr>
          <w:rFonts w:ascii="Arial" w:hAnsi="Arial" w:cs="Arial"/>
          <w:b/>
          <w:bCs/>
        </w:rPr>
      </w:pPr>
      <w:r w:rsidRPr="00097C79">
        <w:rPr>
          <w:rFonts w:ascii="Arial" w:hAnsi="Arial" w:cs="Arial"/>
          <w:b/>
          <w:bCs/>
        </w:rPr>
        <w:t xml:space="preserve">Workforce </w:t>
      </w:r>
      <w:r w:rsidR="007B71EA">
        <w:rPr>
          <w:rFonts w:ascii="Arial" w:hAnsi="Arial" w:cs="Arial"/>
          <w:b/>
          <w:bCs/>
        </w:rPr>
        <w:t>disability</w:t>
      </w:r>
      <w:r w:rsidRPr="00097C79">
        <w:rPr>
          <w:rFonts w:ascii="Arial" w:hAnsi="Arial" w:cs="Arial"/>
          <w:b/>
          <w:bCs/>
        </w:rPr>
        <w:t xml:space="preserve"> profile</w:t>
      </w:r>
    </w:p>
    <w:p w14:paraId="77A28925" w14:textId="495F92D8" w:rsidR="0035531B" w:rsidRPr="0035531B" w:rsidRDefault="0035531B" w:rsidP="00097C79">
      <w:pPr>
        <w:rPr>
          <w:rFonts w:ascii="Arial" w:hAnsi="Arial" w:cs="Arial"/>
        </w:rPr>
      </w:pPr>
      <w:r w:rsidRPr="0035531B">
        <w:rPr>
          <w:rFonts w:ascii="Arial" w:hAnsi="Arial" w:cs="Arial"/>
        </w:rPr>
        <w:t xml:space="preserve">A significant proportion of our employees have not disclosed their disability status, which may </w:t>
      </w:r>
      <w:r w:rsidR="001448C4">
        <w:rPr>
          <w:rFonts w:ascii="Arial" w:hAnsi="Arial" w:cs="Arial"/>
        </w:rPr>
        <w:t xml:space="preserve">impact the </w:t>
      </w:r>
      <w:r w:rsidRPr="0035531B">
        <w:rPr>
          <w:rFonts w:ascii="Arial" w:hAnsi="Arial" w:cs="Arial"/>
        </w:rPr>
        <w:t xml:space="preserve">accuracy of </w:t>
      </w:r>
      <w:r w:rsidR="001448C4">
        <w:rPr>
          <w:rFonts w:ascii="Arial" w:hAnsi="Arial" w:cs="Arial"/>
        </w:rPr>
        <w:t xml:space="preserve">the </w:t>
      </w:r>
      <w:r w:rsidRPr="0035531B">
        <w:rPr>
          <w:rFonts w:ascii="Arial" w:hAnsi="Arial" w:cs="Arial"/>
        </w:rPr>
        <w:t xml:space="preserve">analysis and </w:t>
      </w:r>
      <w:r w:rsidR="001448C4">
        <w:rPr>
          <w:rFonts w:ascii="Arial" w:hAnsi="Arial" w:cs="Arial"/>
        </w:rPr>
        <w:t xml:space="preserve">the effectiveness of </w:t>
      </w:r>
      <w:r w:rsidRPr="0035531B">
        <w:rPr>
          <w:rFonts w:ascii="Arial" w:hAnsi="Arial" w:cs="Arial"/>
        </w:rPr>
        <w:t>inclusion strategies.</w:t>
      </w:r>
      <w:r w:rsidR="00B44AAB">
        <w:rPr>
          <w:rFonts w:ascii="Arial" w:hAnsi="Arial" w:cs="Arial"/>
        </w:rPr>
        <w:t xml:space="preserve"> </w:t>
      </w:r>
      <w:r w:rsidR="00461AAD">
        <w:rPr>
          <w:rFonts w:ascii="Arial" w:hAnsi="Arial" w:cs="Arial"/>
        </w:rPr>
        <w:t xml:space="preserve">24.26% of employees have not disclosed their disability status.  </w:t>
      </w:r>
      <w:r w:rsidR="00B44AAB">
        <w:rPr>
          <w:rFonts w:ascii="Arial" w:hAnsi="Arial" w:cs="Arial"/>
        </w:rPr>
        <w:t xml:space="preserve"> </w:t>
      </w:r>
    </w:p>
    <w:tbl>
      <w:tblPr>
        <w:tblStyle w:val="TableGrid"/>
        <w:tblW w:w="0" w:type="auto"/>
        <w:tblLook w:val="04A0" w:firstRow="1" w:lastRow="0" w:firstColumn="1" w:lastColumn="0" w:noHBand="0" w:noVBand="1"/>
      </w:tblPr>
      <w:tblGrid>
        <w:gridCol w:w="3539"/>
        <w:gridCol w:w="2126"/>
        <w:gridCol w:w="3351"/>
      </w:tblGrid>
      <w:tr w:rsidR="00AF5543" w14:paraId="2FB0E716" w14:textId="77777777" w:rsidTr="00F3077A">
        <w:tc>
          <w:tcPr>
            <w:tcW w:w="3539" w:type="dxa"/>
          </w:tcPr>
          <w:p w14:paraId="6BCEF00C" w14:textId="77777777" w:rsidR="00AF5543" w:rsidRPr="00F3077A" w:rsidRDefault="00AF5543" w:rsidP="00E27A37">
            <w:pPr>
              <w:rPr>
                <w:b/>
                <w:bCs/>
              </w:rPr>
            </w:pPr>
            <w:r w:rsidRPr="00F3077A">
              <w:rPr>
                <w:b/>
                <w:bCs/>
              </w:rPr>
              <w:t>Disability type</w:t>
            </w:r>
          </w:p>
        </w:tc>
        <w:tc>
          <w:tcPr>
            <w:tcW w:w="2126" w:type="dxa"/>
          </w:tcPr>
          <w:p w14:paraId="7CDBDAD7" w14:textId="77777777" w:rsidR="00AF5543" w:rsidRPr="00F3077A" w:rsidRDefault="00AF5543" w:rsidP="00E27A37">
            <w:pPr>
              <w:rPr>
                <w:b/>
                <w:bCs/>
              </w:rPr>
            </w:pPr>
            <w:r w:rsidRPr="00F3077A">
              <w:rPr>
                <w:b/>
                <w:bCs/>
              </w:rPr>
              <w:t>Employee count</w:t>
            </w:r>
          </w:p>
        </w:tc>
        <w:tc>
          <w:tcPr>
            <w:tcW w:w="3351" w:type="dxa"/>
          </w:tcPr>
          <w:p w14:paraId="19676C42" w14:textId="77777777" w:rsidR="00AF5543" w:rsidRPr="00F3077A" w:rsidRDefault="00AF5543" w:rsidP="00E27A37">
            <w:pPr>
              <w:rPr>
                <w:b/>
                <w:bCs/>
              </w:rPr>
            </w:pPr>
            <w:r w:rsidRPr="00F3077A">
              <w:rPr>
                <w:b/>
                <w:bCs/>
              </w:rPr>
              <w:t>Proportion of workforce</w:t>
            </w:r>
          </w:p>
        </w:tc>
      </w:tr>
      <w:tr w:rsidR="00AF5543" w14:paraId="05E10715" w14:textId="77777777" w:rsidTr="00F3077A">
        <w:tc>
          <w:tcPr>
            <w:tcW w:w="3539" w:type="dxa"/>
          </w:tcPr>
          <w:p w14:paraId="309DF8EE" w14:textId="77777777" w:rsidR="00AF5543" w:rsidRDefault="00AF5543" w:rsidP="00E27A37">
            <w:r>
              <w:t>Disabled and need adjustments</w:t>
            </w:r>
          </w:p>
        </w:tc>
        <w:tc>
          <w:tcPr>
            <w:tcW w:w="2126" w:type="dxa"/>
          </w:tcPr>
          <w:p w14:paraId="3763964E" w14:textId="77777777" w:rsidR="00AF5543" w:rsidRDefault="00AF5543" w:rsidP="00E27A37">
            <w:r>
              <w:t>9</w:t>
            </w:r>
          </w:p>
        </w:tc>
        <w:tc>
          <w:tcPr>
            <w:tcW w:w="3351" w:type="dxa"/>
          </w:tcPr>
          <w:p w14:paraId="028A11FF" w14:textId="77777777" w:rsidR="00AF5543" w:rsidRDefault="00AF5543" w:rsidP="00E27A37">
            <w:r>
              <w:t>2.43%</w:t>
            </w:r>
          </w:p>
        </w:tc>
      </w:tr>
      <w:tr w:rsidR="00AF5543" w14:paraId="4DB95A8D" w14:textId="77777777" w:rsidTr="00F3077A">
        <w:tc>
          <w:tcPr>
            <w:tcW w:w="3539" w:type="dxa"/>
          </w:tcPr>
          <w:p w14:paraId="24D960E3" w14:textId="77777777" w:rsidR="00AF5543" w:rsidRDefault="00AF5543" w:rsidP="00E27A37">
            <w:r>
              <w:t>Disabled and no adjustments</w:t>
            </w:r>
          </w:p>
        </w:tc>
        <w:tc>
          <w:tcPr>
            <w:tcW w:w="2126" w:type="dxa"/>
          </w:tcPr>
          <w:p w14:paraId="4266AE09" w14:textId="77777777" w:rsidR="00AF5543" w:rsidRDefault="00AF5543" w:rsidP="00E27A37">
            <w:r>
              <w:t>11</w:t>
            </w:r>
          </w:p>
        </w:tc>
        <w:tc>
          <w:tcPr>
            <w:tcW w:w="3351" w:type="dxa"/>
          </w:tcPr>
          <w:p w14:paraId="782F6818" w14:textId="77777777" w:rsidR="00AF5543" w:rsidRDefault="00AF5543" w:rsidP="00E27A37">
            <w:r>
              <w:t>2.96%</w:t>
            </w:r>
          </w:p>
        </w:tc>
      </w:tr>
      <w:tr w:rsidR="00AF5543" w14:paraId="315C8169" w14:textId="77777777" w:rsidTr="00F3077A">
        <w:tc>
          <w:tcPr>
            <w:tcW w:w="3539" w:type="dxa"/>
          </w:tcPr>
          <w:p w14:paraId="5AD3BA8C" w14:textId="77777777" w:rsidR="00AF5543" w:rsidRDefault="00AF5543" w:rsidP="00E27A37">
            <w:r>
              <w:t>Not known</w:t>
            </w:r>
          </w:p>
        </w:tc>
        <w:tc>
          <w:tcPr>
            <w:tcW w:w="2126" w:type="dxa"/>
          </w:tcPr>
          <w:p w14:paraId="07A87936" w14:textId="77777777" w:rsidR="00AF5543" w:rsidRDefault="00AF5543" w:rsidP="00E27A37">
            <w:r>
              <w:t>83</w:t>
            </w:r>
          </w:p>
        </w:tc>
        <w:tc>
          <w:tcPr>
            <w:tcW w:w="3351" w:type="dxa"/>
          </w:tcPr>
          <w:p w14:paraId="653EB2C1" w14:textId="77777777" w:rsidR="00AF5543" w:rsidRDefault="00AF5543" w:rsidP="00E27A37">
            <w:r>
              <w:t>22.37%</w:t>
            </w:r>
          </w:p>
        </w:tc>
      </w:tr>
      <w:tr w:rsidR="00AF5543" w14:paraId="7EBAE5F3" w14:textId="77777777" w:rsidTr="00F3077A">
        <w:tc>
          <w:tcPr>
            <w:tcW w:w="3539" w:type="dxa"/>
          </w:tcPr>
          <w:p w14:paraId="44DD772E" w14:textId="77777777" w:rsidR="00AF5543" w:rsidRDefault="00AF5543" w:rsidP="00E27A37">
            <w:r>
              <w:t>Prefer not to say</w:t>
            </w:r>
          </w:p>
        </w:tc>
        <w:tc>
          <w:tcPr>
            <w:tcW w:w="2126" w:type="dxa"/>
          </w:tcPr>
          <w:p w14:paraId="7F31F7F9" w14:textId="77777777" w:rsidR="00AF5543" w:rsidRDefault="00AF5543" w:rsidP="00E27A37">
            <w:r>
              <w:t>7</w:t>
            </w:r>
          </w:p>
        </w:tc>
        <w:tc>
          <w:tcPr>
            <w:tcW w:w="3351" w:type="dxa"/>
          </w:tcPr>
          <w:p w14:paraId="3B030A9C" w14:textId="77777777" w:rsidR="00AF5543" w:rsidRDefault="00AF5543" w:rsidP="00E27A37">
            <w:r>
              <w:t>1.89%</w:t>
            </w:r>
          </w:p>
        </w:tc>
      </w:tr>
      <w:tr w:rsidR="00AF5543" w14:paraId="22A50B25" w14:textId="77777777" w:rsidTr="00F3077A">
        <w:tc>
          <w:tcPr>
            <w:tcW w:w="3539" w:type="dxa"/>
          </w:tcPr>
          <w:p w14:paraId="63148EF7" w14:textId="1479BC2E" w:rsidR="00AF5543" w:rsidRDefault="00D86A77" w:rsidP="00E27A37">
            <w:r>
              <w:t>Nondisabled</w:t>
            </w:r>
          </w:p>
        </w:tc>
        <w:tc>
          <w:tcPr>
            <w:tcW w:w="2126" w:type="dxa"/>
          </w:tcPr>
          <w:p w14:paraId="26BD84F4" w14:textId="77777777" w:rsidR="00AF5543" w:rsidRDefault="00AF5543" w:rsidP="00E27A37">
            <w:r>
              <w:t>261</w:t>
            </w:r>
          </w:p>
        </w:tc>
        <w:tc>
          <w:tcPr>
            <w:tcW w:w="3351" w:type="dxa"/>
          </w:tcPr>
          <w:p w14:paraId="4FA25BB5" w14:textId="77777777" w:rsidR="00AF5543" w:rsidRDefault="00AF5543" w:rsidP="00E27A37">
            <w:r>
              <w:t>70.35%</w:t>
            </w:r>
          </w:p>
        </w:tc>
      </w:tr>
    </w:tbl>
    <w:p w14:paraId="7692F15A" w14:textId="77777777" w:rsidR="00AF5543" w:rsidRDefault="00AF5543" w:rsidP="00D34210"/>
    <w:p w14:paraId="587CD715" w14:textId="6D28DF3B" w:rsidR="001C4A29" w:rsidRPr="00927F99" w:rsidRDefault="00097C79">
      <w:pPr>
        <w:rPr>
          <w:rFonts w:ascii="Arial" w:hAnsi="Arial" w:cs="Arial"/>
          <w:b/>
          <w:bCs/>
        </w:rPr>
      </w:pPr>
      <w:r w:rsidRPr="00927F99">
        <w:rPr>
          <w:rFonts w:ascii="Arial" w:hAnsi="Arial" w:cs="Arial"/>
          <w:b/>
          <w:bCs/>
        </w:rPr>
        <w:t>Key pay gap metrics</w:t>
      </w:r>
    </w:p>
    <w:p w14:paraId="406C1C24" w14:textId="2EB7264B" w:rsidR="00D34210" w:rsidRPr="003428F6" w:rsidRDefault="00D34210" w:rsidP="00D34210">
      <w:pPr>
        <w:rPr>
          <w:rFonts w:ascii="Arial" w:hAnsi="Arial" w:cs="Arial"/>
        </w:rPr>
      </w:pPr>
      <w:r w:rsidRPr="003428F6">
        <w:rPr>
          <w:rFonts w:ascii="Arial" w:hAnsi="Arial" w:cs="Arial"/>
        </w:rPr>
        <w:t xml:space="preserve">Current guidance on gender pay gap reporting relies on a comparison of mean and median values between two groups of comparable sizes and may not always be appropriate when applied to groups with large differences between group sizes such as employees with a disability and employees with no disability.  </w:t>
      </w:r>
    </w:p>
    <w:p w14:paraId="457BFB7F" w14:textId="77777777" w:rsidR="00D34210" w:rsidRPr="00927F99" w:rsidRDefault="00D34210" w:rsidP="00D34210">
      <w:pPr>
        <w:rPr>
          <w:rFonts w:ascii="Arial" w:hAnsi="Arial" w:cs="Arial"/>
        </w:rPr>
      </w:pPr>
    </w:p>
    <w:p w14:paraId="686DD6C3" w14:textId="342EA804" w:rsidR="002B1D0E" w:rsidRPr="00927F99" w:rsidRDefault="00D34210">
      <w:pPr>
        <w:rPr>
          <w:rFonts w:ascii="Arial" w:hAnsi="Arial" w:cs="Arial"/>
          <w:b/>
          <w:bCs/>
        </w:rPr>
      </w:pPr>
      <w:r>
        <w:rPr>
          <w:rFonts w:ascii="Arial" w:hAnsi="Arial" w:cs="Arial"/>
          <w:b/>
          <w:bCs/>
        </w:rPr>
        <w:t>Disability</w:t>
      </w:r>
      <w:r w:rsidR="002B1D0E" w:rsidRPr="00927F99">
        <w:rPr>
          <w:rFonts w:ascii="Arial" w:hAnsi="Arial" w:cs="Arial"/>
          <w:b/>
          <w:bCs/>
        </w:rPr>
        <w:t xml:space="preserve"> pay gap</w:t>
      </w:r>
    </w:p>
    <w:p w14:paraId="63F7B19A" w14:textId="652AE5B0" w:rsidR="00097C79" w:rsidRDefault="00097C79">
      <w:pPr>
        <w:rPr>
          <w:rFonts w:ascii="Arial" w:hAnsi="Arial" w:cs="Arial"/>
        </w:rPr>
      </w:pPr>
      <w:r w:rsidRPr="00927F99">
        <w:rPr>
          <w:rFonts w:ascii="Arial" w:hAnsi="Arial" w:cs="Arial"/>
        </w:rPr>
        <w:t xml:space="preserve">Our </w:t>
      </w:r>
      <w:r w:rsidRPr="00FC23C5">
        <w:rPr>
          <w:rFonts w:ascii="Arial" w:hAnsi="Arial" w:cs="Arial"/>
          <w:b/>
          <w:bCs/>
        </w:rPr>
        <w:t>mean</w:t>
      </w:r>
      <w:r w:rsidRPr="00927F99">
        <w:rPr>
          <w:rFonts w:ascii="Arial" w:hAnsi="Arial" w:cs="Arial"/>
        </w:rPr>
        <w:t xml:space="preserve"> </w:t>
      </w:r>
      <w:r w:rsidR="00D34210">
        <w:rPr>
          <w:rFonts w:ascii="Arial" w:hAnsi="Arial" w:cs="Arial"/>
        </w:rPr>
        <w:t>disability</w:t>
      </w:r>
      <w:r w:rsidRPr="00927F99">
        <w:rPr>
          <w:rFonts w:ascii="Arial" w:hAnsi="Arial" w:cs="Arial"/>
        </w:rPr>
        <w:t xml:space="preserve"> pay gap is </w:t>
      </w:r>
      <w:r w:rsidR="00D34210">
        <w:rPr>
          <w:rFonts w:ascii="Arial" w:hAnsi="Arial" w:cs="Arial"/>
        </w:rPr>
        <w:t>6.93</w:t>
      </w:r>
      <w:r w:rsidRPr="00927F99">
        <w:rPr>
          <w:rFonts w:ascii="Arial" w:hAnsi="Arial" w:cs="Arial"/>
        </w:rPr>
        <w:t>%</w:t>
      </w:r>
      <w:r w:rsidR="00F67264">
        <w:rPr>
          <w:rFonts w:ascii="Arial" w:hAnsi="Arial" w:cs="Arial"/>
        </w:rPr>
        <w:t>, o</w:t>
      </w:r>
      <w:r w:rsidR="002B1D0E" w:rsidRPr="00927F99">
        <w:rPr>
          <w:rFonts w:ascii="Arial" w:hAnsi="Arial" w:cs="Arial"/>
        </w:rPr>
        <w:t xml:space="preserve">ur </w:t>
      </w:r>
      <w:r w:rsidRPr="00FC23C5">
        <w:rPr>
          <w:rFonts w:ascii="Arial" w:hAnsi="Arial" w:cs="Arial"/>
          <w:b/>
          <w:bCs/>
        </w:rPr>
        <w:t>median</w:t>
      </w:r>
      <w:r w:rsidRPr="00927F99">
        <w:rPr>
          <w:rFonts w:ascii="Arial" w:hAnsi="Arial" w:cs="Arial"/>
        </w:rPr>
        <w:t xml:space="preserve"> </w:t>
      </w:r>
      <w:r w:rsidR="00AF5543">
        <w:rPr>
          <w:rFonts w:ascii="Arial" w:hAnsi="Arial" w:cs="Arial"/>
        </w:rPr>
        <w:t>disability</w:t>
      </w:r>
      <w:r w:rsidRPr="00927F99">
        <w:rPr>
          <w:rFonts w:ascii="Arial" w:hAnsi="Arial" w:cs="Arial"/>
        </w:rPr>
        <w:t xml:space="preserve"> pay gap is </w:t>
      </w:r>
      <w:r w:rsidR="00D34210">
        <w:rPr>
          <w:rFonts w:ascii="Arial" w:hAnsi="Arial" w:cs="Arial"/>
        </w:rPr>
        <w:t>5.75</w:t>
      </w:r>
      <w:r w:rsidRPr="00927F99">
        <w:rPr>
          <w:rFonts w:ascii="Arial" w:hAnsi="Arial" w:cs="Arial"/>
        </w:rPr>
        <w:t>%</w:t>
      </w:r>
      <w:r w:rsidR="00717ACA">
        <w:rPr>
          <w:rFonts w:ascii="Arial" w:hAnsi="Arial" w:cs="Arial"/>
        </w:rPr>
        <w:t xml:space="preserve">. </w:t>
      </w:r>
      <w:r w:rsidR="001401A0">
        <w:rPr>
          <w:rFonts w:ascii="Arial" w:hAnsi="Arial" w:cs="Arial"/>
        </w:rPr>
        <w:t xml:space="preserve"> </w:t>
      </w:r>
      <w:r w:rsidR="002B1D0E" w:rsidRPr="00927F99">
        <w:rPr>
          <w:rFonts w:ascii="Arial" w:hAnsi="Arial" w:cs="Arial"/>
        </w:rPr>
        <w:t xml:space="preserve">This </w:t>
      </w:r>
      <w:r w:rsidRPr="00927F99">
        <w:rPr>
          <w:rFonts w:ascii="Arial" w:hAnsi="Arial" w:cs="Arial"/>
        </w:rPr>
        <w:t xml:space="preserve">means that </w:t>
      </w:r>
      <w:r w:rsidR="00D34210">
        <w:rPr>
          <w:rFonts w:ascii="Arial" w:hAnsi="Arial" w:cs="Arial"/>
        </w:rPr>
        <w:t xml:space="preserve">disabled employees earn less than </w:t>
      </w:r>
      <w:r w:rsidR="00AF5543">
        <w:rPr>
          <w:rFonts w:ascii="Arial" w:hAnsi="Arial" w:cs="Arial"/>
        </w:rPr>
        <w:t>non-disabled</w:t>
      </w:r>
      <w:r w:rsidR="00D34210">
        <w:rPr>
          <w:rFonts w:ascii="Arial" w:hAnsi="Arial" w:cs="Arial"/>
        </w:rPr>
        <w:t xml:space="preserve"> employees.</w:t>
      </w:r>
      <w:r w:rsidR="00D44F04">
        <w:rPr>
          <w:rFonts w:ascii="Arial" w:hAnsi="Arial" w:cs="Arial"/>
        </w:rPr>
        <w:t xml:space="preserve"> </w:t>
      </w:r>
    </w:p>
    <w:p w14:paraId="271A5A9B" w14:textId="77777777" w:rsidR="003D1C2F" w:rsidRPr="00927F99" w:rsidRDefault="003D1C2F">
      <w:pPr>
        <w:rPr>
          <w:rFonts w:ascii="Arial" w:hAnsi="Arial" w:cs="Arial"/>
        </w:rPr>
      </w:pPr>
    </w:p>
    <w:tbl>
      <w:tblPr>
        <w:tblStyle w:val="TableGrid"/>
        <w:tblW w:w="0" w:type="auto"/>
        <w:tblLook w:val="04A0" w:firstRow="1" w:lastRow="0" w:firstColumn="1" w:lastColumn="0" w:noHBand="0" w:noVBand="1"/>
      </w:tblPr>
      <w:tblGrid>
        <w:gridCol w:w="1622"/>
        <w:gridCol w:w="1512"/>
        <w:gridCol w:w="1512"/>
        <w:gridCol w:w="1424"/>
        <w:gridCol w:w="1409"/>
        <w:gridCol w:w="1537"/>
      </w:tblGrid>
      <w:tr w:rsidR="00A7149F" w14:paraId="730B4E97" w14:textId="77777777" w:rsidTr="00A7149F">
        <w:tc>
          <w:tcPr>
            <w:tcW w:w="1502" w:type="dxa"/>
          </w:tcPr>
          <w:p w14:paraId="422F4D8C" w14:textId="2C33230A" w:rsidR="00A7149F" w:rsidRPr="00D86A77" w:rsidRDefault="00A7149F" w:rsidP="00F67264">
            <w:pPr>
              <w:rPr>
                <w:rFonts w:ascii="Arial" w:hAnsi="Arial" w:cs="Arial"/>
                <w:b/>
                <w:bCs/>
                <w:sz w:val="22"/>
                <w:szCs w:val="22"/>
              </w:rPr>
            </w:pPr>
            <w:r w:rsidRPr="00D86A77">
              <w:rPr>
                <w:rFonts w:ascii="Arial" w:hAnsi="Arial" w:cs="Arial"/>
                <w:b/>
                <w:bCs/>
                <w:sz w:val="22"/>
                <w:szCs w:val="22"/>
              </w:rPr>
              <w:t>Hourly rate (mean)</w:t>
            </w:r>
          </w:p>
        </w:tc>
        <w:tc>
          <w:tcPr>
            <w:tcW w:w="1502" w:type="dxa"/>
          </w:tcPr>
          <w:p w14:paraId="2BBED904" w14:textId="29128AB5" w:rsidR="00A7149F" w:rsidRPr="00D86A77" w:rsidRDefault="00A7149F" w:rsidP="00F67264">
            <w:pPr>
              <w:rPr>
                <w:rFonts w:ascii="Arial" w:hAnsi="Arial" w:cs="Arial"/>
                <w:b/>
                <w:bCs/>
                <w:sz w:val="22"/>
                <w:szCs w:val="22"/>
              </w:rPr>
            </w:pPr>
            <w:r w:rsidRPr="00D86A77">
              <w:rPr>
                <w:rFonts w:ascii="Arial" w:hAnsi="Arial" w:cs="Arial"/>
                <w:b/>
                <w:bCs/>
                <w:sz w:val="22"/>
                <w:szCs w:val="22"/>
              </w:rPr>
              <w:t>Disabled and need adjustments</w:t>
            </w:r>
          </w:p>
        </w:tc>
        <w:tc>
          <w:tcPr>
            <w:tcW w:w="1503" w:type="dxa"/>
          </w:tcPr>
          <w:p w14:paraId="53982A2C" w14:textId="51ADA292" w:rsidR="00A7149F" w:rsidRPr="00D86A77" w:rsidRDefault="00A7149F" w:rsidP="00F67264">
            <w:pPr>
              <w:rPr>
                <w:rFonts w:ascii="Arial" w:hAnsi="Arial" w:cs="Arial"/>
                <w:b/>
                <w:bCs/>
                <w:sz w:val="22"/>
                <w:szCs w:val="22"/>
              </w:rPr>
            </w:pPr>
            <w:r w:rsidRPr="00D86A77">
              <w:rPr>
                <w:rFonts w:ascii="Arial" w:hAnsi="Arial" w:cs="Arial"/>
                <w:b/>
                <w:bCs/>
                <w:sz w:val="22"/>
                <w:szCs w:val="22"/>
              </w:rPr>
              <w:t>Disabled and no adjustments</w:t>
            </w:r>
          </w:p>
        </w:tc>
        <w:tc>
          <w:tcPr>
            <w:tcW w:w="1503" w:type="dxa"/>
          </w:tcPr>
          <w:p w14:paraId="0F96AAE9" w14:textId="522E8306" w:rsidR="00A7149F" w:rsidRPr="00D86A77" w:rsidRDefault="00A7149F" w:rsidP="00F67264">
            <w:pPr>
              <w:rPr>
                <w:rFonts w:ascii="Arial" w:hAnsi="Arial" w:cs="Arial"/>
                <w:b/>
                <w:bCs/>
                <w:sz w:val="22"/>
                <w:szCs w:val="22"/>
              </w:rPr>
            </w:pPr>
            <w:r w:rsidRPr="00D86A77">
              <w:rPr>
                <w:rFonts w:ascii="Arial" w:hAnsi="Arial" w:cs="Arial"/>
                <w:b/>
                <w:bCs/>
                <w:sz w:val="22"/>
                <w:szCs w:val="22"/>
              </w:rPr>
              <w:t>Not known</w:t>
            </w:r>
          </w:p>
        </w:tc>
        <w:tc>
          <w:tcPr>
            <w:tcW w:w="1503" w:type="dxa"/>
          </w:tcPr>
          <w:p w14:paraId="222766B7" w14:textId="33B1473A" w:rsidR="00A7149F" w:rsidRPr="00D86A77" w:rsidRDefault="00A7149F" w:rsidP="00F67264">
            <w:pPr>
              <w:rPr>
                <w:rFonts w:ascii="Arial" w:hAnsi="Arial" w:cs="Arial"/>
                <w:b/>
                <w:bCs/>
                <w:sz w:val="22"/>
                <w:szCs w:val="22"/>
              </w:rPr>
            </w:pPr>
            <w:r w:rsidRPr="00D86A77">
              <w:rPr>
                <w:rFonts w:ascii="Arial" w:hAnsi="Arial" w:cs="Arial"/>
                <w:b/>
                <w:bCs/>
                <w:sz w:val="22"/>
                <w:szCs w:val="22"/>
              </w:rPr>
              <w:t>Prefer not to say</w:t>
            </w:r>
          </w:p>
        </w:tc>
        <w:tc>
          <w:tcPr>
            <w:tcW w:w="1503" w:type="dxa"/>
          </w:tcPr>
          <w:p w14:paraId="5C9C4B8D" w14:textId="127607DA" w:rsidR="00A7149F" w:rsidRPr="00D86A77" w:rsidRDefault="00D86A77" w:rsidP="00F67264">
            <w:pPr>
              <w:rPr>
                <w:rFonts w:ascii="Arial" w:hAnsi="Arial" w:cs="Arial"/>
                <w:b/>
                <w:bCs/>
                <w:sz w:val="22"/>
                <w:szCs w:val="22"/>
              </w:rPr>
            </w:pPr>
            <w:r w:rsidRPr="00D86A77">
              <w:rPr>
                <w:rFonts w:ascii="Arial" w:hAnsi="Arial" w:cs="Arial"/>
                <w:b/>
                <w:bCs/>
                <w:sz w:val="22"/>
                <w:szCs w:val="22"/>
              </w:rPr>
              <w:t>Nondisabled</w:t>
            </w:r>
          </w:p>
        </w:tc>
      </w:tr>
      <w:tr w:rsidR="00A7149F" w14:paraId="1DD73F6A" w14:textId="77777777" w:rsidTr="00A7149F">
        <w:tc>
          <w:tcPr>
            <w:tcW w:w="1502" w:type="dxa"/>
          </w:tcPr>
          <w:p w14:paraId="13D2E60D" w14:textId="78EF0D2A" w:rsidR="00A7149F" w:rsidRPr="00D86A77" w:rsidRDefault="00A7149F" w:rsidP="00F67264">
            <w:pPr>
              <w:rPr>
                <w:rFonts w:ascii="Arial" w:hAnsi="Arial" w:cs="Arial"/>
                <w:b/>
                <w:bCs/>
                <w:sz w:val="22"/>
                <w:szCs w:val="22"/>
              </w:rPr>
            </w:pPr>
            <w:r w:rsidRPr="00D86A77">
              <w:rPr>
                <w:rFonts w:ascii="Arial" w:hAnsi="Arial" w:cs="Arial"/>
                <w:b/>
                <w:bCs/>
                <w:sz w:val="22"/>
                <w:szCs w:val="22"/>
              </w:rPr>
              <w:t>Mean hourly rate</w:t>
            </w:r>
          </w:p>
        </w:tc>
        <w:tc>
          <w:tcPr>
            <w:tcW w:w="1502" w:type="dxa"/>
          </w:tcPr>
          <w:p w14:paraId="1CD0497B" w14:textId="159C1689" w:rsidR="00A7149F" w:rsidRPr="001401A0" w:rsidRDefault="00093954" w:rsidP="00F67264">
            <w:pPr>
              <w:rPr>
                <w:rFonts w:ascii="Arial" w:hAnsi="Arial" w:cs="Arial"/>
                <w:sz w:val="22"/>
                <w:szCs w:val="22"/>
              </w:rPr>
            </w:pPr>
            <w:r>
              <w:rPr>
                <w:rFonts w:ascii="Arial" w:hAnsi="Arial" w:cs="Arial"/>
                <w:sz w:val="22"/>
                <w:szCs w:val="22"/>
              </w:rPr>
              <w:t>£</w:t>
            </w:r>
            <w:r w:rsidR="00A7149F" w:rsidRPr="001401A0">
              <w:rPr>
                <w:rFonts w:ascii="Arial" w:hAnsi="Arial" w:cs="Arial"/>
                <w:sz w:val="22"/>
                <w:szCs w:val="22"/>
              </w:rPr>
              <w:t>16.23</w:t>
            </w:r>
          </w:p>
        </w:tc>
        <w:tc>
          <w:tcPr>
            <w:tcW w:w="1503" w:type="dxa"/>
          </w:tcPr>
          <w:p w14:paraId="7D9FB578" w14:textId="20194CA7" w:rsidR="00A7149F" w:rsidRPr="001401A0" w:rsidRDefault="00093954" w:rsidP="00F67264">
            <w:pPr>
              <w:rPr>
                <w:rFonts w:ascii="Arial" w:hAnsi="Arial" w:cs="Arial"/>
                <w:sz w:val="22"/>
                <w:szCs w:val="22"/>
              </w:rPr>
            </w:pPr>
            <w:r>
              <w:rPr>
                <w:rFonts w:ascii="Arial" w:hAnsi="Arial" w:cs="Arial"/>
                <w:sz w:val="22"/>
                <w:szCs w:val="22"/>
              </w:rPr>
              <w:t>£</w:t>
            </w:r>
            <w:r w:rsidR="00A7149F" w:rsidRPr="001401A0">
              <w:rPr>
                <w:rFonts w:ascii="Arial" w:hAnsi="Arial" w:cs="Arial"/>
                <w:sz w:val="22"/>
                <w:szCs w:val="22"/>
              </w:rPr>
              <w:t>16.74</w:t>
            </w:r>
          </w:p>
        </w:tc>
        <w:tc>
          <w:tcPr>
            <w:tcW w:w="1503" w:type="dxa"/>
          </w:tcPr>
          <w:p w14:paraId="7301A8DD" w14:textId="059E7611" w:rsidR="00A7149F" w:rsidRPr="001401A0" w:rsidRDefault="00093954" w:rsidP="00F67264">
            <w:pPr>
              <w:rPr>
                <w:rFonts w:ascii="Arial" w:hAnsi="Arial" w:cs="Arial"/>
                <w:sz w:val="22"/>
                <w:szCs w:val="22"/>
              </w:rPr>
            </w:pPr>
            <w:r>
              <w:rPr>
                <w:rFonts w:ascii="Arial" w:hAnsi="Arial" w:cs="Arial"/>
                <w:sz w:val="22"/>
                <w:szCs w:val="22"/>
              </w:rPr>
              <w:t>£</w:t>
            </w:r>
            <w:r w:rsidR="00A7149F" w:rsidRPr="001401A0">
              <w:rPr>
                <w:rFonts w:ascii="Arial" w:hAnsi="Arial" w:cs="Arial"/>
                <w:sz w:val="22"/>
                <w:szCs w:val="22"/>
              </w:rPr>
              <w:t>20.55</w:t>
            </w:r>
          </w:p>
        </w:tc>
        <w:tc>
          <w:tcPr>
            <w:tcW w:w="1503" w:type="dxa"/>
          </w:tcPr>
          <w:p w14:paraId="21B81242" w14:textId="2B242406" w:rsidR="00A7149F" w:rsidRPr="001401A0" w:rsidRDefault="00093954" w:rsidP="00F67264">
            <w:pPr>
              <w:rPr>
                <w:rFonts w:ascii="Arial" w:hAnsi="Arial" w:cs="Arial"/>
                <w:sz w:val="22"/>
                <w:szCs w:val="22"/>
              </w:rPr>
            </w:pPr>
            <w:r>
              <w:rPr>
                <w:rFonts w:ascii="Arial" w:hAnsi="Arial" w:cs="Arial"/>
                <w:sz w:val="22"/>
                <w:szCs w:val="22"/>
              </w:rPr>
              <w:t>£</w:t>
            </w:r>
            <w:r w:rsidR="00A7149F" w:rsidRPr="001401A0">
              <w:rPr>
                <w:rFonts w:ascii="Arial" w:hAnsi="Arial" w:cs="Arial"/>
                <w:sz w:val="22"/>
                <w:szCs w:val="22"/>
              </w:rPr>
              <w:t>19</w:t>
            </w:r>
          </w:p>
        </w:tc>
        <w:tc>
          <w:tcPr>
            <w:tcW w:w="1503" w:type="dxa"/>
          </w:tcPr>
          <w:p w14:paraId="2DA13E14" w14:textId="4207E919" w:rsidR="00A7149F" w:rsidRPr="001401A0" w:rsidRDefault="00093954" w:rsidP="00F67264">
            <w:pPr>
              <w:rPr>
                <w:rFonts w:ascii="Arial" w:hAnsi="Arial" w:cs="Arial"/>
                <w:sz w:val="22"/>
                <w:szCs w:val="22"/>
              </w:rPr>
            </w:pPr>
            <w:r>
              <w:rPr>
                <w:rFonts w:ascii="Arial" w:hAnsi="Arial" w:cs="Arial"/>
                <w:sz w:val="22"/>
                <w:szCs w:val="22"/>
              </w:rPr>
              <w:t>£1</w:t>
            </w:r>
            <w:r w:rsidR="00A7149F" w:rsidRPr="001401A0">
              <w:rPr>
                <w:rFonts w:ascii="Arial" w:hAnsi="Arial" w:cs="Arial"/>
                <w:sz w:val="22"/>
                <w:szCs w:val="22"/>
              </w:rPr>
              <w:t>7.76</w:t>
            </w:r>
          </w:p>
        </w:tc>
      </w:tr>
      <w:tr w:rsidR="00A7149F" w14:paraId="1C8D9527" w14:textId="77777777" w:rsidTr="00A7149F">
        <w:tc>
          <w:tcPr>
            <w:tcW w:w="1502" w:type="dxa"/>
          </w:tcPr>
          <w:p w14:paraId="65A8772F" w14:textId="79046E4F" w:rsidR="00A7149F" w:rsidRPr="00D86A77" w:rsidRDefault="00A7149F" w:rsidP="00F67264">
            <w:pPr>
              <w:rPr>
                <w:rFonts w:ascii="Arial" w:hAnsi="Arial" w:cs="Arial"/>
                <w:b/>
                <w:bCs/>
                <w:sz w:val="22"/>
                <w:szCs w:val="22"/>
              </w:rPr>
            </w:pPr>
            <w:r w:rsidRPr="00D86A77">
              <w:rPr>
                <w:rFonts w:ascii="Arial" w:hAnsi="Arial" w:cs="Arial"/>
                <w:b/>
                <w:bCs/>
                <w:sz w:val="22"/>
                <w:szCs w:val="22"/>
              </w:rPr>
              <w:t>Difference (value)</w:t>
            </w:r>
          </w:p>
        </w:tc>
        <w:tc>
          <w:tcPr>
            <w:tcW w:w="1502" w:type="dxa"/>
          </w:tcPr>
          <w:p w14:paraId="0AF13053" w14:textId="44863767" w:rsidR="00A7149F" w:rsidRPr="001401A0" w:rsidRDefault="00093954" w:rsidP="00F67264">
            <w:pPr>
              <w:rPr>
                <w:rFonts w:ascii="Arial" w:hAnsi="Arial" w:cs="Arial"/>
                <w:sz w:val="22"/>
                <w:szCs w:val="22"/>
              </w:rPr>
            </w:pPr>
            <w:r>
              <w:rPr>
                <w:rFonts w:ascii="Arial" w:hAnsi="Arial" w:cs="Arial"/>
                <w:sz w:val="22"/>
                <w:szCs w:val="22"/>
              </w:rPr>
              <w:t>£</w:t>
            </w:r>
            <w:r w:rsidR="00A7149F" w:rsidRPr="001401A0">
              <w:rPr>
                <w:rFonts w:ascii="Arial" w:hAnsi="Arial" w:cs="Arial"/>
                <w:sz w:val="22"/>
                <w:szCs w:val="22"/>
              </w:rPr>
              <w:t>1.53</w:t>
            </w:r>
          </w:p>
        </w:tc>
        <w:tc>
          <w:tcPr>
            <w:tcW w:w="1503" w:type="dxa"/>
          </w:tcPr>
          <w:p w14:paraId="61D7A95B" w14:textId="6C0843A8" w:rsidR="00A7149F" w:rsidRPr="001401A0" w:rsidRDefault="00093954" w:rsidP="00F67264">
            <w:pPr>
              <w:rPr>
                <w:rFonts w:ascii="Arial" w:hAnsi="Arial" w:cs="Arial"/>
                <w:sz w:val="22"/>
                <w:szCs w:val="22"/>
              </w:rPr>
            </w:pPr>
            <w:r>
              <w:rPr>
                <w:rFonts w:ascii="Arial" w:hAnsi="Arial" w:cs="Arial"/>
                <w:sz w:val="22"/>
                <w:szCs w:val="22"/>
              </w:rPr>
              <w:t>£</w:t>
            </w:r>
            <w:r w:rsidR="00A7149F" w:rsidRPr="001401A0">
              <w:rPr>
                <w:rFonts w:ascii="Arial" w:hAnsi="Arial" w:cs="Arial"/>
                <w:sz w:val="22"/>
                <w:szCs w:val="22"/>
              </w:rPr>
              <w:t>1.02</w:t>
            </w:r>
          </w:p>
        </w:tc>
        <w:tc>
          <w:tcPr>
            <w:tcW w:w="1503" w:type="dxa"/>
          </w:tcPr>
          <w:p w14:paraId="2988F3A8" w14:textId="14186AB0" w:rsidR="00A7149F" w:rsidRPr="001401A0" w:rsidRDefault="00093954" w:rsidP="00F67264">
            <w:pPr>
              <w:rPr>
                <w:rFonts w:ascii="Arial" w:hAnsi="Arial" w:cs="Arial"/>
                <w:sz w:val="22"/>
                <w:szCs w:val="22"/>
              </w:rPr>
            </w:pPr>
            <w:r>
              <w:rPr>
                <w:rFonts w:ascii="Arial" w:hAnsi="Arial" w:cs="Arial"/>
                <w:sz w:val="22"/>
                <w:szCs w:val="22"/>
              </w:rPr>
              <w:t>£</w:t>
            </w:r>
            <w:r w:rsidR="00A7149F" w:rsidRPr="001401A0">
              <w:rPr>
                <w:rFonts w:ascii="Arial" w:hAnsi="Arial" w:cs="Arial"/>
                <w:sz w:val="22"/>
                <w:szCs w:val="22"/>
              </w:rPr>
              <w:t>-2.78</w:t>
            </w:r>
          </w:p>
        </w:tc>
        <w:tc>
          <w:tcPr>
            <w:tcW w:w="1503" w:type="dxa"/>
          </w:tcPr>
          <w:p w14:paraId="05F84795" w14:textId="07C18FB9" w:rsidR="00A7149F" w:rsidRPr="001401A0" w:rsidRDefault="00093954" w:rsidP="00F67264">
            <w:pPr>
              <w:rPr>
                <w:rFonts w:ascii="Arial" w:hAnsi="Arial" w:cs="Arial"/>
                <w:sz w:val="22"/>
                <w:szCs w:val="22"/>
              </w:rPr>
            </w:pPr>
            <w:r>
              <w:rPr>
                <w:rFonts w:ascii="Arial" w:hAnsi="Arial" w:cs="Arial"/>
                <w:sz w:val="22"/>
                <w:szCs w:val="22"/>
              </w:rPr>
              <w:t>£</w:t>
            </w:r>
            <w:r w:rsidR="00A7149F" w:rsidRPr="001401A0">
              <w:rPr>
                <w:rFonts w:ascii="Arial" w:hAnsi="Arial" w:cs="Arial"/>
                <w:sz w:val="22"/>
                <w:szCs w:val="22"/>
              </w:rPr>
              <w:t>-1.24</w:t>
            </w:r>
          </w:p>
        </w:tc>
        <w:tc>
          <w:tcPr>
            <w:tcW w:w="1503" w:type="dxa"/>
          </w:tcPr>
          <w:p w14:paraId="20DEC08D" w14:textId="7878175B" w:rsidR="00A7149F" w:rsidRPr="001401A0" w:rsidRDefault="00A7149F" w:rsidP="00F67264">
            <w:pPr>
              <w:rPr>
                <w:rFonts w:ascii="Arial" w:hAnsi="Arial" w:cs="Arial"/>
                <w:sz w:val="22"/>
                <w:szCs w:val="22"/>
              </w:rPr>
            </w:pPr>
            <w:r w:rsidRPr="001401A0">
              <w:rPr>
                <w:rFonts w:ascii="Arial" w:hAnsi="Arial" w:cs="Arial"/>
                <w:sz w:val="22"/>
                <w:szCs w:val="22"/>
              </w:rPr>
              <w:t>0</w:t>
            </w:r>
          </w:p>
        </w:tc>
      </w:tr>
      <w:tr w:rsidR="00A7149F" w14:paraId="2FEF8200" w14:textId="77777777" w:rsidTr="00A7149F">
        <w:tc>
          <w:tcPr>
            <w:tcW w:w="1502" w:type="dxa"/>
          </w:tcPr>
          <w:p w14:paraId="7E9FA7EB" w14:textId="4D868B3C" w:rsidR="00A7149F" w:rsidRPr="00D86A77" w:rsidRDefault="00A7149F" w:rsidP="00F67264">
            <w:pPr>
              <w:rPr>
                <w:rFonts w:ascii="Arial" w:hAnsi="Arial" w:cs="Arial"/>
                <w:b/>
                <w:bCs/>
                <w:sz w:val="22"/>
                <w:szCs w:val="22"/>
              </w:rPr>
            </w:pPr>
            <w:r w:rsidRPr="00D86A77">
              <w:rPr>
                <w:rFonts w:ascii="Arial" w:hAnsi="Arial" w:cs="Arial"/>
                <w:b/>
                <w:bCs/>
                <w:sz w:val="22"/>
                <w:szCs w:val="22"/>
              </w:rPr>
              <w:t>% difference</w:t>
            </w:r>
          </w:p>
        </w:tc>
        <w:tc>
          <w:tcPr>
            <w:tcW w:w="1502" w:type="dxa"/>
          </w:tcPr>
          <w:p w14:paraId="4DF9EFC3" w14:textId="5561C2F2" w:rsidR="00A7149F" w:rsidRPr="001401A0" w:rsidRDefault="00A7149F" w:rsidP="00F67264">
            <w:pPr>
              <w:rPr>
                <w:rFonts w:ascii="Arial" w:hAnsi="Arial" w:cs="Arial"/>
                <w:sz w:val="22"/>
                <w:szCs w:val="22"/>
              </w:rPr>
            </w:pPr>
            <w:r w:rsidRPr="001401A0">
              <w:rPr>
                <w:rFonts w:ascii="Arial" w:hAnsi="Arial" w:cs="Arial"/>
                <w:sz w:val="22"/>
                <w:szCs w:val="22"/>
              </w:rPr>
              <w:t>8.63%</w:t>
            </w:r>
          </w:p>
        </w:tc>
        <w:tc>
          <w:tcPr>
            <w:tcW w:w="1503" w:type="dxa"/>
          </w:tcPr>
          <w:p w14:paraId="086FDC64" w14:textId="14607BD6" w:rsidR="00A7149F" w:rsidRPr="001401A0" w:rsidRDefault="00A7149F" w:rsidP="00F67264">
            <w:pPr>
              <w:rPr>
                <w:rFonts w:ascii="Arial" w:hAnsi="Arial" w:cs="Arial"/>
                <w:sz w:val="22"/>
                <w:szCs w:val="22"/>
              </w:rPr>
            </w:pPr>
            <w:r w:rsidRPr="001401A0">
              <w:rPr>
                <w:rFonts w:ascii="Arial" w:hAnsi="Arial" w:cs="Arial"/>
                <w:sz w:val="22"/>
                <w:szCs w:val="22"/>
              </w:rPr>
              <w:t>5.73%</w:t>
            </w:r>
          </w:p>
        </w:tc>
        <w:tc>
          <w:tcPr>
            <w:tcW w:w="1503" w:type="dxa"/>
          </w:tcPr>
          <w:p w14:paraId="4666A5EB" w14:textId="0D091124" w:rsidR="00A7149F" w:rsidRPr="001401A0" w:rsidRDefault="00A7149F" w:rsidP="00F67264">
            <w:pPr>
              <w:rPr>
                <w:rFonts w:ascii="Arial" w:hAnsi="Arial" w:cs="Arial"/>
                <w:sz w:val="22"/>
                <w:szCs w:val="22"/>
              </w:rPr>
            </w:pPr>
            <w:r w:rsidRPr="001401A0">
              <w:rPr>
                <w:rFonts w:ascii="Arial" w:hAnsi="Arial" w:cs="Arial"/>
                <w:sz w:val="22"/>
                <w:szCs w:val="22"/>
              </w:rPr>
              <w:t>-15.68%</w:t>
            </w:r>
          </w:p>
        </w:tc>
        <w:tc>
          <w:tcPr>
            <w:tcW w:w="1503" w:type="dxa"/>
          </w:tcPr>
          <w:p w14:paraId="6AF80E0C" w14:textId="1DAA74AA" w:rsidR="00A7149F" w:rsidRPr="001401A0" w:rsidRDefault="00A7149F" w:rsidP="00F67264">
            <w:pPr>
              <w:rPr>
                <w:rFonts w:ascii="Arial" w:hAnsi="Arial" w:cs="Arial"/>
                <w:sz w:val="22"/>
                <w:szCs w:val="22"/>
              </w:rPr>
            </w:pPr>
            <w:r w:rsidRPr="001401A0">
              <w:rPr>
                <w:rFonts w:ascii="Arial" w:hAnsi="Arial" w:cs="Arial"/>
                <w:sz w:val="22"/>
                <w:szCs w:val="22"/>
              </w:rPr>
              <w:t>-6.97%</w:t>
            </w:r>
          </w:p>
        </w:tc>
        <w:tc>
          <w:tcPr>
            <w:tcW w:w="1503" w:type="dxa"/>
          </w:tcPr>
          <w:p w14:paraId="493FCEDB" w14:textId="5118780E" w:rsidR="00A7149F" w:rsidRPr="001401A0" w:rsidRDefault="00A7149F" w:rsidP="00F67264">
            <w:pPr>
              <w:rPr>
                <w:rFonts w:ascii="Arial" w:hAnsi="Arial" w:cs="Arial"/>
                <w:sz w:val="22"/>
                <w:szCs w:val="22"/>
              </w:rPr>
            </w:pPr>
            <w:r w:rsidRPr="001401A0">
              <w:rPr>
                <w:rFonts w:ascii="Arial" w:hAnsi="Arial" w:cs="Arial"/>
                <w:sz w:val="22"/>
                <w:szCs w:val="22"/>
              </w:rPr>
              <w:t>0%</w:t>
            </w:r>
          </w:p>
        </w:tc>
      </w:tr>
      <w:tr w:rsidR="00A7149F" w14:paraId="0148160D" w14:textId="77777777" w:rsidTr="00A7149F">
        <w:tc>
          <w:tcPr>
            <w:tcW w:w="1502" w:type="dxa"/>
          </w:tcPr>
          <w:p w14:paraId="125AF6B2" w14:textId="3DA16A7F" w:rsidR="00A7149F" w:rsidRPr="00D86A77" w:rsidRDefault="00A7149F" w:rsidP="00F67264">
            <w:pPr>
              <w:rPr>
                <w:rFonts w:ascii="Arial" w:hAnsi="Arial" w:cs="Arial"/>
                <w:b/>
                <w:bCs/>
                <w:sz w:val="22"/>
                <w:szCs w:val="22"/>
              </w:rPr>
            </w:pPr>
            <w:r w:rsidRPr="00D86A77">
              <w:rPr>
                <w:rFonts w:ascii="Arial" w:hAnsi="Arial" w:cs="Arial"/>
                <w:b/>
                <w:bCs/>
                <w:sz w:val="22"/>
                <w:szCs w:val="22"/>
              </w:rPr>
              <w:t>Higher/Lower</w:t>
            </w:r>
          </w:p>
        </w:tc>
        <w:tc>
          <w:tcPr>
            <w:tcW w:w="1502" w:type="dxa"/>
          </w:tcPr>
          <w:p w14:paraId="46B6C316" w14:textId="73FD3B7B" w:rsidR="00A7149F" w:rsidRPr="001401A0" w:rsidRDefault="00A7149F" w:rsidP="00F67264">
            <w:pPr>
              <w:rPr>
                <w:rFonts w:ascii="Arial" w:hAnsi="Arial" w:cs="Arial"/>
                <w:sz w:val="22"/>
                <w:szCs w:val="22"/>
              </w:rPr>
            </w:pPr>
            <w:r w:rsidRPr="001401A0">
              <w:rPr>
                <w:rFonts w:ascii="Arial" w:hAnsi="Arial" w:cs="Arial"/>
                <w:sz w:val="22"/>
                <w:szCs w:val="22"/>
              </w:rPr>
              <w:t>Lower</w:t>
            </w:r>
          </w:p>
        </w:tc>
        <w:tc>
          <w:tcPr>
            <w:tcW w:w="1503" w:type="dxa"/>
          </w:tcPr>
          <w:p w14:paraId="6C66F436" w14:textId="003FA13A" w:rsidR="00A7149F" w:rsidRPr="001401A0" w:rsidRDefault="00A7149F" w:rsidP="00F67264">
            <w:pPr>
              <w:rPr>
                <w:rFonts w:ascii="Arial" w:hAnsi="Arial" w:cs="Arial"/>
                <w:sz w:val="22"/>
                <w:szCs w:val="22"/>
              </w:rPr>
            </w:pPr>
            <w:r w:rsidRPr="001401A0">
              <w:rPr>
                <w:rFonts w:ascii="Arial" w:hAnsi="Arial" w:cs="Arial"/>
                <w:sz w:val="22"/>
                <w:szCs w:val="22"/>
              </w:rPr>
              <w:t>Lower</w:t>
            </w:r>
          </w:p>
        </w:tc>
        <w:tc>
          <w:tcPr>
            <w:tcW w:w="1503" w:type="dxa"/>
          </w:tcPr>
          <w:p w14:paraId="44B3B7EC" w14:textId="513ADEE9" w:rsidR="00A7149F" w:rsidRPr="001401A0" w:rsidRDefault="00A7149F" w:rsidP="00F67264">
            <w:pPr>
              <w:rPr>
                <w:rFonts w:ascii="Arial" w:hAnsi="Arial" w:cs="Arial"/>
                <w:sz w:val="22"/>
                <w:szCs w:val="22"/>
              </w:rPr>
            </w:pPr>
            <w:r w:rsidRPr="001401A0">
              <w:rPr>
                <w:rFonts w:ascii="Arial" w:hAnsi="Arial" w:cs="Arial"/>
                <w:sz w:val="22"/>
                <w:szCs w:val="22"/>
              </w:rPr>
              <w:t>Higher</w:t>
            </w:r>
          </w:p>
        </w:tc>
        <w:tc>
          <w:tcPr>
            <w:tcW w:w="1503" w:type="dxa"/>
          </w:tcPr>
          <w:p w14:paraId="3DA3BFC3" w14:textId="31152788" w:rsidR="00A7149F" w:rsidRPr="001401A0" w:rsidRDefault="00A7149F" w:rsidP="00F67264">
            <w:pPr>
              <w:rPr>
                <w:rFonts w:ascii="Arial" w:hAnsi="Arial" w:cs="Arial"/>
                <w:sz w:val="22"/>
                <w:szCs w:val="22"/>
              </w:rPr>
            </w:pPr>
            <w:r w:rsidRPr="001401A0">
              <w:rPr>
                <w:rFonts w:ascii="Arial" w:hAnsi="Arial" w:cs="Arial"/>
                <w:sz w:val="22"/>
                <w:szCs w:val="22"/>
              </w:rPr>
              <w:t>Higher</w:t>
            </w:r>
          </w:p>
        </w:tc>
        <w:tc>
          <w:tcPr>
            <w:tcW w:w="1503" w:type="dxa"/>
          </w:tcPr>
          <w:p w14:paraId="4E006C50" w14:textId="139A5829" w:rsidR="00A7149F" w:rsidRPr="001401A0" w:rsidRDefault="00A7149F" w:rsidP="00F67264">
            <w:pPr>
              <w:rPr>
                <w:rFonts w:ascii="Arial" w:hAnsi="Arial" w:cs="Arial"/>
                <w:sz w:val="22"/>
                <w:szCs w:val="22"/>
              </w:rPr>
            </w:pPr>
            <w:r w:rsidRPr="001401A0">
              <w:rPr>
                <w:rFonts w:ascii="Arial" w:hAnsi="Arial" w:cs="Arial"/>
                <w:sz w:val="22"/>
                <w:szCs w:val="22"/>
              </w:rPr>
              <w:t>-</w:t>
            </w:r>
          </w:p>
        </w:tc>
      </w:tr>
    </w:tbl>
    <w:p w14:paraId="2B709918" w14:textId="77777777" w:rsidR="00CC1D6E" w:rsidRDefault="00CC1D6E" w:rsidP="00F67264">
      <w:pPr>
        <w:rPr>
          <w:rFonts w:ascii="Arial" w:hAnsi="Arial" w:cs="Arial"/>
        </w:rPr>
      </w:pPr>
    </w:p>
    <w:tbl>
      <w:tblPr>
        <w:tblStyle w:val="TableGrid"/>
        <w:tblW w:w="0" w:type="auto"/>
        <w:tblLook w:val="04A0" w:firstRow="1" w:lastRow="0" w:firstColumn="1" w:lastColumn="0" w:noHBand="0" w:noVBand="1"/>
      </w:tblPr>
      <w:tblGrid>
        <w:gridCol w:w="1622"/>
        <w:gridCol w:w="1512"/>
        <w:gridCol w:w="1512"/>
        <w:gridCol w:w="1451"/>
        <w:gridCol w:w="1450"/>
        <w:gridCol w:w="1469"/>
      </w:tblGrid>
      <w:tr w:rsidR="00A7149F" w:rsidRPr="00D86A77" w14:paraId="0CA4450B" w14:textId="77777777" w:rsidTr="00D142B8">
        <w:tc>
          <w:tcPr>
            <w:tcW w:w="1502" w:type="dxa"/>
          </w:tcPr>
          <w:p w14:paraId="46B8C626" w14:textId="65068910" w:rsidR="00A7149F" w:rsidRPr="00D86A77" w:rsidRDefault="00A7149F" w:rsidP="00D142B8">
            <w:pPr>
              <w:rPr>
                <w:rFonts w:ascii="Arial" w:hAnsi="Arial" w:cs="Arial"/>
                <w:b/>
                <w:bCs/>
                <w:sz w:val="22"/>
                <w:szCs w:val="22"/>
              </w:rPr>
            </w:pPr>
            <w:r w:rsidRPr="00D86A77">
              <w:rPr>
                <w:rFonts w:ascii="Arial" w:hAnsi="Arial" w:cs="Arial"/>
                <w:b/>
                <w:bCs/>
                <w:sz w:val="22"/>
                <w:szCs w:val="22"/>
              </w:rPr>
              <w:lastRenderedPageBreak/>
              <w:t>Hourly rate (median)</w:t>
            </w:r>
          </w:p>
        </w:tc>
        <w:tc>
          <w:tcPr>
            <w:tcW w:w="1502" w:type="dxa"/>
          </w:tcPr>
          <w:p w14:paraId="39966C9B" w14:textId="77777777" w:rsidR="00A7149F" w:rsidRPr="00D86A77" w:rsidRDefault="00A7149F" w:rsidP="00D142B8">
            <w:pPr>
              <w:rPr>
                <w:rFonts w:ascii="Arial" w:hAnsi="Arial" w:cs="Arial"/>
                <w:b/>
                <w:bCs/>
                <w:sz w:val="22"/>
                <w:szCs w:val="22"/>
              </w:rPr>
            </w:pPr>
            <w:r w:rsidRPr="00D86A77">
              <w:rPr>
                <w:rFonts w:ascii="Arial" w:hAnsi="Arial" w:cs="Arial"/>
                <w:b/>
                <w:bCs/>
                <w:sz w:val="22"/>
                <w:szCs w:val="22"/>
              </w:rPr>
              <w:t>Disabled and need adjustments</w:t>
            </w:r>
          </w:p>
        </w:tc>
        <w:tc>
          <w:tcPr>
            <w:tcW w:w="1503" w:type="dxa"/>
          </w:tcPr>
          <w:p w14:paraId="5AD1571D" w14:textId="77777777" w:rsidR="00A7149F" w:rsidRPr="00D86A77" w:rsidRDefault="00A7149F" w:rsidP="00D142B8">
            <w:pPr>
              <w:rPr>
                <w:rFonts w:ascii="Arial" w:hAnsi="Arial" w:cs="Arial"/>
                <w:b/>
                <w:bCs/>
                <w:sz w:val="22"/>
                <w:szCs w:val="22"/>
              </w:rPr>
            </w:pPr>
            <w:r w:rsidRPr="00D86A77">
              <w:rPr>
                <w:rFonts w:ascii="Arial" w:hAnsi="Arial" w:cs="Arial"/>
                <w:b/>
                <w:bCs/>
                <w:sz w:val="22"/>
                <w:szCs w:val="22"/>
              </w:rPr>
              <w:t>Disabled and no adjustments</w:t>
            </w:r>
          </w:p>
        </w:tc>
        <w:tc>
          <w:tcPr>
            <w:tcW w:w="1503" w:type="dxa"/>
          </w:tcPr>
          <w:p w14:paraId="2C07E773" w14:textId="77777777" w:rsidR="00A7149F" w:rsidRPr="00D86A77" w:rsidRDefault="00A7149F" w:rsidP="00D142B8">
            <w:pPr>
              <w:rPr>
                <w:rFonts w:ascii="Arial" w:hAnsi="Arial" w:cs="Arial"/>
                <w:b/>
                <w:bCs/>
                <w:sz w:val="22"/>
                <w:szCs w:val="22"/>
              </w:rPr>
            </w:pPr>
            <w:r w:rsidRPr="00D86A77">
              <w:rPr>
                <w:rFonts w:ascii="Arial" w:hAnsi="Arial" w:cs="Arial"/>
                <w:b/>
                <w:bCs/>
                <w:sz w:val="22"/>
                <w:szCs w:val="22"/>
              </w:rPr>
              <w:t>Not known</w:t>
            </w:r>
          </w:p>
        </w:tc>
        <w:tc>
          <w:tcPr>
            <w:tcW w:w="1503" w:type="dxa"/>
          </w:tcPr>
          <w:p w14:paraId="4647008B" w14:textId="77777777" w:rsidR="00A7149F" w:rsidRPr="00D86A77" w:rsidRDefault="00A7149F" w:rsidP="00D142B8">
            <w:pPr>
              <w:rPr>
                <w:rFonts w:ascii="Arial" w:hAnsi="Arial" w:cs="Arial"/>
                <w:b/>
                <w:bCs/>
                <w:sz w:val="22"/>
                <w:szCs w:val="22"/>
              </w:rPr>
            </w:pPr>
            <w:r w:rsidRPr="00D86A77">
              <w:rPr>
                <w:rFonts w:ascii="Arial" w:hAnsi="Arial" w:cs="Arial"/>
                <w:b/>
                <w:bCs/>
                <w:sz w:val="22"/>
                <w:szCs w:val="22"/>
              </w:rPr>
              <w:t>Prefer not to say</w:t>
            </w:r>
          </w:p>
        </w:tc>
        <w:tc>
          <w:tcPr>
            <w:tcW w:w="1503" w:type="dxa"/>
          </w:tcPr>
          <w:p w14:paraId="2CEC9F33" w14:textId="77777777" w:rsidR="00A7149F" w:rsidRPr="00D86A77" w:rsidRDefault="00A7149F" w:rsidP="00D142B8">
            <w:pPr>
              <w:rPr>
                <w:rFonts w:ascii="Arial" w:hAnsi="Arial" w:cs="Arial"/>
                <w:b/>
                <w:bCs/>
                <w:sz w:val="22"/>
                <w:szCs w:val="22"/>
              </w:rPr>
            </w:pPr>
            <w:proofErr w:type="gramStart"/>
            <w:r w:rsidRPr="00D86A77">
              <w:rPr>
                <w:rFonts w:ascii="Arial" w:hAnsi="Arial" w:cs="Arial"/>
                <w:b/>
                <w:bCs/>
                <w:sz w:val="22"/>
                <w:szCs w:val="22"/>
              </w:rPr>
              <w:t>Non disabled</w:t>
            </w:r>
            <w:proofErr w:type="gramEnd"/>
          </w:p>
        </w:tc>
      </w:tr>
      <w:tr w:rsidR="00A7149F" w:rsidRPr="00D86A77" w14:paraId="2E988539" w14:textId="77777777" w:rsidTr="00D142B8">
        <w:tc>
          <w:tcPr>
            <w:tcW w:w="1502" w:type="dxa"/>
          </w:tcPr>
          <w:p w14:paraId="14F95E7C" w14:textId="0960A910" w:rsidR="00A7149F" w:rsidRPr="00D86A77" w:rsidRDefault="00A7149F" w:rsidP="00D142B8">
            <w:pPr>
              <w:rPr>
                <w:rFonts w:ascii="Arial" w:hAnsi="Arial" w:cs="Arial"/>
                <w:b/>
                <w:bCs/>
                <w:sz w:val="22"/>
                <w:szCs w:val="22"/>
              </w:rPr>
            </w:pPr>
            <w:r w:rsidRPr="00D86A77">
              <w:rPr>
                <w:rFonts w:ascii="Arial" w:hAnsi="Arial" w:cs="Arial"/>
                <w:b/>
                <w:bCs/>
                <w:sz w:val="22"/>
                <w:szCs w:val="22"/>
              </w:rPr>
              <w:t>Median hourly rate</w:t>
            </w:r>
          </w:p>
        </w:tc>
        <w:tc>
          <w:tcPr>
            <w:tcW w:w="1502" w:type="dxa"/>
          </w:tcPr>
          <w:p w14:paraId="3DAA8A52" w14:textId="27B35F03"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14.35</w:t>
            </w:r>
          </w:p>
        </w:tc>
        <w:tc>
          <w:tcPr>
            <w:tcW w:w="1503" w:type="dxa"/>
          </w:tcPr>
          <w:p w14:paraId="52894C5F" w14:textId="5D662742"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17.26</w:t>
            </w:r>
          </w:p>
        </w:tc>
        <w:tc>
          <w:tcPr>
            <w:tcW w:w="1503" w:type="dxa"/>
          </w:tcPr>
          <w:p w14:paraId="7843B785" w14:textId="2EFD4340"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17.07</w:t>
            </w:r>
          </w:p>
        </w:tc>
        <w:tc>
          <w:tcPr>
            <w:tcW w:w="1503" w:type="dxa"/>
          </w:tcPr>
          <w:p w14:paraId="58E44F71" w14:textId="2045CEF3"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17.07</w:t>
            </w:r>
          </w:p>
        </w:tc>
        <w:tc>
          <w:tcPr>
            <w:tcW w:w="1503" w:type="dxa"/>
          </w:tcPr>
          <w:p w14:paraId="49C89211" w14:textId="5828854D"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16.52</w:t>
            </w:r>
          </w:p>
        </w:tc>
      </w:tr>
      <w:tr w:rsidR="00A7149F" w:rsidRPr="00D86A77" w14:paraId="33E396C1" w14:textId="77777777" w:rsidTr="00D142B8">
        <w:tc>
          <w:tcPr>
            <w:tcW w:w="1502" w:type="dxa"/>
          </w:tcPr>
          <w:p w14:paraId="2C3B9687" w14:textId="77777777" w:rsidR="00A7149F" w:rsidRPr="00D86A77" w:rsidRDefault="00A7149F" w:rsidP="00D142B8">
            <w:pPr>
              <w:rPr>
                <w:rFonts w:ascii="Arial" w:hAnsi="Arial" w:cs="Arial"/>
                <w:b/>
                <w:bCs/>
                <w:sz w:val="22"/>
                <w:szCs w:val="22"/>
              </w:rPr>
            </w:pPr>
            <w:r w:rsidRPr="00D86A77">
              <w:rPr>
                <w:rFonts w:ascii="Arial" w:hAnsi="Arial" w:cs="Arial"/>
                <w:b/>
                <w:bCs/>
                <w:sz w:val="22"/>
                <w:szCs w:val="22"/>
              </w:rPr>
              <w:t>Difference (value)</w:t>
            </w:r>
          </w:p>
        </w:tc>
        <w:tc>
          <w:tcPr>
            <w:tcW w:w="1502" w:type="dxa"/>
          </w:tcPr>
          <w:p w14:paraId="050A8313" w14:textId="2750AF69"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2.17</w:t>
            </w:r>
          </w:p>
        </w:tc>
        <w:tc>
          <w:tcPr>
            <w:tcW w:w="1503" w:type="dxa"/>
          </w:tcPr>
          <w:p w14:paraId="7F53350F" w14:textId="32FD0032"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-0.74</w:t>
            </w:r>
          </w:p>
        </w:tc>
        <w:tc>
          <w:tcPr>
            <w:tcW w:w="1503" w:type="dxa"/>
          </w:tcPr>
          <w:p w14:paraId="36277364" w14:textId="4509B3DC"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-0.55</w:t>
            </w:r>
          </w:p>
        </w:tc>
        <w:tc>
          <w:tcPr>
            <w:tcW w:w="1503" w:type="dxa"/>
          </w:tcPr>
          <w:p w14:paraId="22828F62" w14:textId="3120F374" w:rsidR="00A7149F" w:rsidRPr="00D86A77" w:rsidRDefault="00093954" w:rsidP="00D142B8">
            <w:pPr>
              <w:rPr>
                <w:rFonts w:ascii="Arial" w:hAnsi="Arial" w:cs="Arial"/>
                <w:sz w:val="22"/>
                <w:szCs w:val="22"/>
              </w:rPr>
            </w:pPr>
            <w:r w:rsidRPr="00D86A77">
              <w:rPr>
                <w:rFonts w:ascii="Arial" w:hAnsi="Arial" w:cs="Arial"/>
                <w:sz w:val="22"/>
                <w:szCs w:val="22"/>
              </w:rPr>
              <w:t>£</w:t>
            </w:r>
            <w:r w:rsidR="00A7149F" w:rsidRPr="00D86A77">
              <w:rPr>
                <w:rFonts w:ascii="Arial" w:hAnsi="Arial" w:cs="Arial"/>
                <w:sz w:val="22"/>
                <w:szCs w:val="22"/>
              </w:rPr>
              <w:t>-0.55</w:t>
            </w:r>
          </w:p>
        </w:tc>
        <w:tc>
          <w:tcPr>
            <w:tcW w:w="1503" w:type="dxa"/>
          </w:tcPr>
          <w:p w14:paraId="05C36418" w14:textId="6154E662" w:rsidR="00A7149F" w:rsidRPr="00D86A77" w:rsidRDefault="00A7149F" w:rsidP="00D142B8">
            <w:pPr>
              <w:rPr>
                <w:rFonts w:ascii="Arial" w:hAnsi="Arial" w:cs="Arial"/>
                <w:sz w:val="22"/>
                <w:szCs w:val="22"/>
              </w:rPr>
            </w:pPr>
            <w:r w:rsidRPr="00D86A77">
              <w:rPr>
                <w:rFonts w:ascii="Arial" w:hAnsi="Arial" w:cs="Arial"/>
                <w:sz w:val="22"/>
                <w:szCs w:val="22"/>
              </w:rPr>
              <w:t>0.00</w:t>
            </w:r>
          </w:p>
        </w:tc>
      </w:tr>
      <w:tr w:rsidR="00A7149F" w:rsidRPr="00D86A77" w14:paraId="719B0D16" w14:textId="77777777" w:rsidTr="00D142B8">
        <w:tc>
          <w:tcPr>
            <w:tcW w:w="1502" w:type="dxa"/>
          </w:tcPr>
          <w:p w14:paraId="3D1B4022" w14:textId="77777777" w:rsidR="00A7149F" w:rsidRPr="00D86A77" w:rsidRDefault="00A7149F" w:rsidP="00D142B8">
            <w:pPr>
              <w:rPr>
                <w:rFonts w:ascii="Arial" w:hAnsi="Arial" w:cs="Arial"/>
                <w:b/>
                <w:bCs/>
                <w:sz w:val="22"/>
                <w:szCs w:val="22"/>
              </w:rPr>
            </w:pPr>
            <w:r w:rsidRPr="00D86A77">
              <w:rPr>
                <w:rFonts w:ascii="Arial" w:hAnsi="Arial" w:cs="Arial"/>
                <w:b/>
                <w:bCs/>
                <w:sz w:val="22"/>
                <w:szCs w:val="22"/>
              </w:rPr>
              <w:t>% difference</w:t>
            </w:r>
          </w:p>
        </w:tc>
        <w:tc>
          <w:tcPr>
            <w:tcW w:w="1502" w:type="dxa"/>
          </w:tcPr>
          <w:p w14:paraId="59781FE8" w14:textId="3CD867E6" w:rsidR="00A7149F" w:rsidRPr="00D86A77" w:rsidRDefault="00A7149F" w:rsidP="00D142B8">
            <w:pPr>
              <w:rPr>
                <w:rFonts w:ascii="Arial" w:hAnsi="Arial" w:cs="Arial"/>
                <w:sz w:val="22"/>
                <w:szCs w:val="22"/>
              </w:rPr>
            </w:pPr>
            <w:r w:rsidRPr="00D86A77">
              <w:rPr>
                <w:rFonts w:ascii="Arial" w:hAnsi="Arial" w:cs="Arial"/>
                <w:sz w:val="22"/>
                <w:szCs w:val="22"/>
              </w:rPr>
              <w:t>13.14%</w:t>
            </w:r>
          </w:p>
        </w:tc>
        <w:tc>
          <w:tcPr>
            <w:tcW w:w="1503" w:type="dxa"/>
          </w:tcPr>
          <w:p w14:paraId="706CF307" w14:textId="4C3439A0" w:rsidR="00A7149F" w:rsidRPr="00D86A77" w:rsidRDefault="00A7149F" w:rsidP="00D142B8">
            <w:pPr>
              <w:rPr>
                <w:rFonts w:ascii="Arial" w:hAnsi="Arial" w:cs="Arial"/>
                <w:sz w:val="22"/>
                <w:szCs w:val="22"/>
              </w:rPr>
            </w:pPr>
            <w:r w:rsidRPr="00D86A77">
              <w:rPr>
                <w:rFonts w:ascii="Arial" w:hAnsi="Arial" w:cs="Arial"/>
                <w:sz w:val="22"/>
                <w:szCs w:val="22"/>
              </w:rPr>
              <w:t>-4.48%</w:t>
            </w:r>
          </w:p>
        </w:tc>
        <w:tc>
          <w:tcPr>
            <w:tcW w:w="1503" w:type="dxa"/>
          </w:tcPr>
          <w:p w14:paraId="1EB43507" w14:textId="0E43F7BE" w:rsidR="00A7149F" w:rsidRPr="00D86A77" w:rsidRDefault="00A7149F" w:rsidP="00D142B8">
            <w:pPr>
              <w:rPr>
                <w:rFonts w:ascii="Arial" w:hAnsi="Arial" w:cs="Arial"/>
                <w:sz w:val="22"/>
                <w:szCs w:val="22"/>
              </w:rPr>
            </w:pPr>
            <w:r w:rsidRPr="00D86A77">
              <w:rPr>
                <w:rFonts w:ascii="Arial" w:hAnsi="Arial" w:cs="Arial"/>
                <w:sz w:val="22"/>
                <w:szCs w:val="22"/>
              </w:rPr>
              <w:t>-3.33</w:t>
            </w:r>
          </w:p>
        </w:tc>
        <w:tc>
          <w:tcPr>
            <w:tcW w:w="1503" w:type="dxa"/>
          </w:tcPr>
          <w:p w14:paraId="02630D29" w14:textId="12B6DF26" w:rsidR="00A7149F" w:rsidRPr="00D86A77" w:rsidRDefault="00A7149F" w:rsidP="00D142B8">
            <w:pPr>
              <w:rPr>
                <w:rFonts w:ascii="Arial" w:hAnsi="Arial" w:cs="Arial"/>
                <w:sz w:val="22"/>
                <w:szCs w:val="22"/>
              </w:rPr>
            </w:pPr>
            <w:r w:rsidRPr="00D86A77">
              <w:rPr>
                <w:rFonts w:ascii="Arial" w:hAnsi="Arial" w:cs="Arial"/>
                <w:sz w:val="22"/>
                <w:szCs w:val="22"/>
              </w:rPr>
              <w:t>-3.33%</w:t>
            </w:r>
          </w:p>
        </w:tc>
        <w:tc>
          <w:tcPr>
            <w:tcW w:w="1503" w:type="dxa"/>
          </w:tcPr>
          <w:p w14:paraId="2CFC998A" w14:textId="40973CF1" w:rsidR="00A7149F" w:rsidRPr="00D86A77" w:rsidRDefault="00A7149F" w:rsidP="00D142B8">
            <w:pPr>
              <w:rPr>
                <w:rFonts w:ascii="Arial" w:hAnsi="Arial" w:cs="Arial"/>
                <w:sz w:val="22"/>
                <w:szCs w:val="22"/>
              </w:rPr>
            </w:pPr>
            <w:r w:rsidRPr="00D86A77">
              <w:rPr>
                <w:rFonts w:ascii="Arial" w:hAnsi="Arial" w:cs="Arial"/>
                <w:sz w:val="22"/>
                <w:szCs w:val="22"/>
              </w:rPr>
              <w:t>0%</w:t>
            </w:r>
          </w:p>
        </w:tc>
      </w:tr>
      <w:tr w:rsidR="00A7149F" w:rsidRPr="00D86A77" w14:paraId="2067E376" w14:textId="77777777" w:rsidTr="00D142B8">
        <w:tc>
          <w:tcPr>
            <w:tcW w:w="1502" w:type="dxa"/>
          </w:tcPr>
          <w:p w14:paraId="6452008C" w14:textId="77777777" w:rsidR="00A7149F" w:rsidRPr="00D86A77" w:rsidRDefault="00A7149F" w:rsidP="00D142B8">
            <w:pPr>
              <w:rPr>
                <w:rFonts w:ascii="Arial" w:hAnsi="Arial" w:cs="Arial"/>
                <w:b/>
                <w:bCs/>
                <w:sz w:val="22"/>
                <w:szCs w:val="22"/>
              </w:rPr>
            </w:pPr>
            <w:r w:rsidRPr="00D86A77">
              <w:rPr>
                <w:rFonts w:ascii="Arial" w:hAnsi="Arial" w:cs="Arial"/>
                <w:b/>
                <w:bCs/>
                <w:sz w:val="22"/>
                <w:szCs w:val="22"/>
              </w:rPr>
              <w:t>Higher/Lower</w:t>
            </w:r>
          </w:p>
        </w:tc>
        <w:tc>
          <w:tcPr>
            <w:tcW w:w="1502" w:type="dxa"/>
          </w:tcPr>
          <w:p w14:paraId="38EBE8EE" w14:textId="25E5ADDB" w:rsidR="00A7149F" w:rsidRPr="00D86A77" w:rsidRDefault="00A7149F" w:rsidP="00D142B8">
            <w:pPr>
              <w:rPr>
                <w:rFonts w:ascii="Arial" w:hAnsi="Arial" w:cs="Arial"/>
                <w:sz w:val="22"/>
                <w:szCs w:val="22"/>
              </w:rPr>
            </w:pPr>
            <w:r w:rsidRPr="00D86A77">
              <w:rPr>
                <w:rFonts w:ascii="Arial" w:hAnsi="Arial" w:cs="Arial"/>
                <w:sz w:val="22"/>
                <w:szCs w:val="22"/>
              </w:rPr>
              <w:t>Higher</w:t>
            </w:r>
          </w:p>
        </w:tc>
        <w:tc>
          <w:tcPr>
            <w:tcW w:w="1503" w:type="dxa"/>
          </w:tcPr>
          <w:p w14:paraId="4D53C5C8" w14:textId="7CD043A7" w:rsidR="00A7149F" w:rsidRPr="00D86A77" w:rsidRDefault="00A7149F" w:rsidP="00D142B8">
            <w:pPr>
              <w:rPr>
                <w:rFonts w:ascii="Arial" w:hAnsi="Arial" w:cs="Arial"/>
                <w:sz w:val="22"/>
                <w:szCs w:val="22"/>
              </w:rPr>
            </w:pPr>
            <w:r w:rsidRPr="00D86A77">
              <w:rPr>
                <w:rFonts w:ascii="Arial" w:hAnsi="Arial" w:cs="Arial"/>
                <w:sz w:val="22"/>
                <w:szCs w:val="22"/>
              </w:rPr>
              <w:t>Higher</w:t>
            </w:r>
          </w:p>
        </w:tc>
        <w:tc>
          <w:tcPr>
            <w:tcW w:w="1503" w:type="dxa"/>
          </w:tcPr>
          <w:p w14:paraId="21D762E6" w14:textId="6D8C2ACE" w:rsidR="00A7149F" w:rsidRPr="00D86A77" w:rsidRDefault="00A7149F" w:rsidP="00D142B8">
            <w:pPr>
              <w:rPr>
                <w:rFonts w:ascii="Arial" w:hAnsi="Arial" w:cs="Arial"/>
                <w:sz w:val="22"/>
                <w:szCs w:val="22"/>
              </w:rPr>
            </w:pPr>
            <w:r w:rsidRPr="00D86A77">
              <w:rPr>
                <w:rFonts w:ascii="Arial" w:hAnsi="Arial" w:cs="Arial"/>
                <w:sz w:val="22"/>
                <w:szCs w:val="22"/>
              </w:rPr>
              <w:t>Higher</w:t>
            </w:r>
          </w:p>
        </w:tc>
        <w:tc>
          <w:tcPr>
            <w:tcW w:w="1503" w:type="dxa"/>
          </w:tcPr>
          <w:p w14:paraId="5EF9D1D7" w14:textId="72D40BB9" w:rsidR="00A7149F" w:rsidRPr="00D86A77" w:rsidRDefault="00A7149F" w:rsidP="00D142B8">
            <w:pPr>
              <w:rPr>
                <w:rFonts w:ascii="Arial" w:hAnsi="Arial" w:cs="Arial"/>
                <w:sz w:val="22"/>
                <w:szCs w:val="22"/>
              </w:rPr>
            </w:pPr>
            <w:r w:rsidRPr="00D86A77">
              <w:rPr>
                <w:rFonts w:ascii="Arial" w:hAnsi="Arial" w:cs="Arial"/>
                <w:sz w:val="22"/>
                <w:szCs w:val="22"/>
              </w:rPr>
              <w:t>Higher</w:t>
            </w:r>
          </w:p>
        </w:tc>
        <w:tc>
          <w:tcPr>
            <w:tcW w:w="1503" w:type="dxa"/>
          </w:tcPr>
          <w:p w14:paraId="30F41F77" w14:textId="0509D394" w:rsidR="00A7149F" w:rsidRPr="00D86A77" w:rsidRDefault="00A7149F" w:rsidP="00D142B8">
            <w:pPr>
              <w:rPr>
                <w:rFonts w:ascii="Arial" w:hAnsi="Arial" w:cs="Arial"/>
                <w:sz w:val="22"/>
                <w:szCs w:val="22"/>
              </w:rPr>
            </w:pPr>
            <w:r w:rsidRPr="00D86A77">
              <w:rPr>
                <w:rFonts w:ascii="Arial" w:hAnsi="Arial" w:cs="Arial"/>
                <w:sz w:val="22"/>
                <w:szCs w:val="22"/>
              </w:rPr>
              <w:t>-</w:t>
            </w:r>
          </w:p>
        </w:tc>
      </w:tr>
    </w:tbl>
    <w:p w14:paraId="70173E2A" w14:textId="77777777" w:rsidR="00A7149F" w:rsidRPr="00D86A77" w:rsidRDefault="00A7149F" w:rsidP="00F67264">
      <w:pPr>
        <w:rPr>
          <w:rFonts w:ascii="Arial" w:hAnsi="Arial" w:cs="Arial"/>
        </w:rPr>
      </w:pPr>
    </w:p>
    <w:p w14:paraId="3DDDDCA5" w14:textId="77777777" w:rsidR="00F67264" w:rsidRPr="00D86A77" w:rsidRDefault="00F67264" w:rsidP="00F67264">
      <w:pPr>
        <w:rPr>
          <w:rFonts w:ascii="Arial" w:hAnsi="Arial" w:cs="Arial"/>
        </w:rPr>
      </w:pPr>
    </w:p>
    <w:p w14:paraId="359FC9A8" w14:textId="49EC5021" w:rsidR="00F67264" w:rsidRPr="00D86A77" w:rsidRDefault="00F67264">
      <w:pPr>
        <w:rPr>
          <w:rFonts w:ascii="Arial" w:hAnsi="Arial" w:cs="Arial"/>
          <w:b/>
          <w:bCs/>
        </w:rPr>
      </w:pPr>
      <w:r w:rsidRPr="00D86A77">
        <w:rPr>
          <w:rFonts w:ascii="Arial" w:hAnsi="Arial" w:cs="Arial"/>
          <w:b/>
          <w:bCs/>
        </w:rPr>
        <w:t>Breakdown by quartile</w:t>
      </w:r>
    </w:p>
    <w:p w14:paraId="612E21C5" w14:textId="77777777" w:rsidR="00461AAD" w:rsidRPr="00D86A77" w:rsidRDefault="00461AAD">
      <w:pPr>
        <w:rPr>
          <w:rFonts w:ascii="Arial" w:hAnsi="Arial" w:cs="Arial"/>
          <w:b/>
          <w:bCs/>
        </w:rPr>
      </w:pPr>
    </w:p>
    <w:tbl>
      <w:tblPr>
        <w:tblStyle w:val="TableGrid"/>
        <w:tblW w:w="0" w:type="auto"/>
        <w:tblLook w:val="04A0" w:firstRow="1" w:lastRow="0" w:firstColumn="1" w:lastColumn="0" w:noHBand="0" w:noVBand="1"/>
      </w:tblPr>
      <w:tblGrid>
        <w:gridCol w:w="1498"/>
        <w:gridCol w:w="1512"/>
        <w:gridCol w:w="1512"/>
        <w:gridCol w:w="1498"/>
        <w:gridCol w:w="1497"/>
        <w:gridCol w:w="1499"/>
      </w:tblGrid>
      <w:tr w:rsidR="00D34210" w:rsidRPr="00D86A77" w14:paraId="109CBC34" w14:textId="77777777" w:rsidTr="00E27A37">
        <w:tc>
          <w:tcPr>
            <w:tcW w:w="1502" w:type="dxa"/>
          </w:tcPr>
          <w:p w14:paraId="3594425F" w14:textId="77777777" w:rsidR="00D34210" w:rsidRPr="00D86A77" w:rsidRDefault="00D34210" w:rsidP="00E27A37">
            <w:pPr>
              <w:rPr>
                <w:rFonts w:ascii="Arial" w:hAnsi="Arial" w:cs="Arial"/>
                <w:b/>
                <w:bCs/>
                <w:sz w:val="22"/>
                <w:szCs w:val="22"/>
              </w:rPr>
            </w:pPr>
          </w:p>
        </w:tc>
        <w:tc>
          <w:tcPr>
            <w:tcW w:w="1502" w:type="dxa"/>
          </w:tcPr>
          <w:p w14:paraId="13C305F0" w14:textId="77777777" w:rsidR="00D34210" w:rsidRPr="00D86A77" w:rsidRDefault="00D34210" w:rsidP="00E27A37">
            <w:pPr>
              <w:rPr>
                <w:rFonts w:ascii="Arial" w:hAnsi="Arial" w:cs="Arial"/>
                <w:b/>
                <w:bCs/>
                <w:sz w:val="22"/>
                <w:szCs w:val="22"/>
              </w:rPr>
            </w:pPr>
            <w:r w:rsidRPr="00D86A77">
              <w:rPr>
                <w:rFonts w:ascii="Arial" w:hAnsi="Arial" w:cs="Arial"/>
                <w:b/>
                <w:bCs/>
                <w:sz w:val="22"/>
                <w:szCs w:val="22"/>
              </w:rPr>
              <w:t>Disabled and need adjustments</w:t>
            </w:r>
          </w:p>
        </w:tc>
        <w:tc>
          <w:tcPr>
            <w:tcW w:w="1503" w:type="dxa"/>
          </w:tcPr>
          <w:p w14:paraId="3BC79058" w14:textId="77777777" w:rsidR="00D34210" w:rsidRPr="00D86A77" w:rsidRDefault="00D34210" w:rsidP="00E27A37">
            <w:pPr>
              <w:rPr>
                <w:rFonts w:ascii="Arial" w:hAnsi="Arial" w:cs="Arial"/>
                <w:b/>
                <w:bCs/>
                <w:sz w:val="22"/>
                <w:szCs w:val="22"/>
              </w:rPr>
            </w:pPr>
            <w:r w:rsidRPr="00D86A77">
              <w:rPr>
                <w:rFonts w:ascii="Arial" w:hAnsi="Arial" w:cs="Arial"/>
                <w:b/>
                <w:bCs/>
                <w:sz w:val="22"/>
                <w:szCs w:val="22"/>
              </w:rPr>
              <w:t>Disabled and no adjustments</w:t>
            </w:r>
          </w:p>
        </w:tc>
        <w:tc>
          <w:tcPr>
            <w:tcW w:w="1503" w:type="dxa"/>
          </w:tcPr>
          <w:p w14:paraId="71F956BC" w14:textId="77777777" w:rsidR="00D34210" w:rsidRPr="00D86A77" w:rsidRDefault="00D34210" w:rsidP="00E27A37">
            <w:pPr>
              <w:rPr>
                <w:rFonts w:ascii="Arial" w:hAnsi="Arial" w:cs="Arial"/>
                <w:b/>
                <w:bCs/>
                <w:sz w:val="22"/>
                <w:szCs w:val="22"/>
              </w:rPr>
            </w:pPr>
            <w:r w:rsidRPr="00D86A77">
              <w:rPr>
                <w:rFonts w:ascii="Arial" w:hAnsi="Arial" w:cs="Arial"/>
                <w:b/>
                <w:bCs/>
                <w:sz w:val="22"/>
                <w:szCs w:val="22"/>
              </w:rPr>
              <w:t>Not known</w:t>
            </w:r>
          </w:p>
        </w:tc>
        <w:tc>
          <w:tcPr>
            <w:tcW w:w="1503" w:type="dxa"/>
          </w:tcPr>
          <w:p w14:paraId="0581512D" w14:textId="77777777" w:rsidR="00D34210" w:rsidRPr="00D86A77" w:rsidRDefault="00D34210" w:rsidP="00E27A37">
            <w:pPr>
              <w:rPr>
                <w:rFonts w:ascii="Arial" w:hAnsi="Arial" w:cs="Arial"/>
                <w:b/>
                <w:bCs/>
                <w:sz w:val="22"/>
                <w:szCs w:val="22"/>
              </w:rPr>
            </w:pPr>
            <w:r w:rsidRPr="00D86A77">
              <w:rPr>
                <w:rFonts w:ascii="Arial" w:hAnsi="Arial" w:cs="Arial"/>
                <w:b/>
                <w:bCs/>
                <w:sz w:val="22"/>
                <w:szCs w:val="22"/>
              </w:rPr>
              <w:t>Prefer not to say</w:t>
            </w:r>
          </w:p>
        </w:tc>
        <w:tc>
          <w:tcPr>
            <w:tcW w:w="1503" w:type="dxa"/>
          </w:tcPr>
          <w:p w14:paraId="4D13EDF5" w14:textId="77777777" w:rsidR="00D34210" w:rsidRPr="00D86A77" w:rsidRDefault="00D34210" w:rsidP="00E27A37">
            <w:pPr>
              <w:rPr>
                <w:rFonts w:ascii="Arial" w:hAnsi="Arial" w:cs="Arial"/>
                <w:b/>
                <w:bCs/>
                <w:sz w:val="22"/>
                <w:szCs w:val="22"/>
              </w:rPr>
            </w:pPr>
            <w:proofErr w:type="gramStart"/>
            <w:r w:rsidRPr="00D86A77">
              <w:rPr>
                <w:rFonts w:ascii="Arial" w:hAnsi="Arial" w:cs="Arial"/>
                <w:b/>
                <w:bCs/>
                <w:sz w:val="22"/>
                <w:szCs w:val="22"/>
              </w:rPr>
              <w:t>Non disabled</w:t>
            </w:r>
            <w:proofErr w:type="gramEnd"/>
          </w:p>
        </w:tc>
      </w:tr>
      <w:tr w:rsidR="00D34210" w:rsidRPr="00D86A77" w14:paraId="69372227" w14:textId="77777777" w:rsidTr="00E27A37">
        <w:tc>
          <w:tcPr>
            <w:tcW w:w="1502" w:type="dxa"/>
          </w:tcPr>
          <w:p w14:paraId="67ECD574" w14:textId="77777777" w:rsidR="00D34210" w:rsidRPr="00D86A77" w:rsidRDefault="00D34210" w:rsidP="00E27A37">
            <w:pPr>
              <w:rPr>
                <w:rFonts w:ascii="Arial" w:hAnsi="Arial" w:cs="Arial"/>
                <w:b/>
                <w:bCs/>
                <w:sz w:val="22"/>
                <w:szCs w:val="22"/>
              </w:rPr>
            </w:pPr>
            <w:r w:rsidRPr="00D86A77">
              <w:rPr>
                <w:rFonts w:ascii="Arial" w:hAnsi="Arial" w:cs="Arial"/>
                <w:b/>
                <w:bCs/>
                <w:sz w:val="22"/>
                <w:szCs w:val="22"/>
              </w:rPr>
              <w:t>Lower Quartile</w:t>
            </w:r>
          </w:p>
        </w:tc>
        <w:tc>
          <w:tcPr>
            <w:tcW w:w="1502" w:type="dxa"/>
          </w:tcPr>
          <w:p w14:paraId="03C5B6AF"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3.26%</w:t>
            </w:r>
          </w:p>
        </w:tc>
        <w:tc>
          <w:tcPr>
            <w:tcW w:w="1503" w:type="dxa"/>
          </w:tcPr>
          <w:p w14:paraId="52FE0E7F"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2.17%</w:t>
            </w:r>
          </w:p>
        </w:tc>
        <w:tc>
          <w:tcPr>
            <w:tcW w:w="1503" w:type="dxa"/>
          </w:tcPr>
          <w:p w14:paraId="777EFD71"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7.61%</w:t>
            </w:r>
          </w:p>
        </w:tc>
        <w:tc>
          <w:tcPr>
            <w:tcW w:w="1503" w:type="dxa"/>
          </w:tcPr>
          <w:p w14:paraId="5DCDDA0D"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2.17%</w:t>
            </w:r>
          </w:p>
        </w:tc>
        <w:tc>
          <w:tcPr>
            <w:tcW w:w="1503" w:type="dxa"/>
          </w:tcPr>
          <w:p w14:paraId="3D330442"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84.78%</w:t>
            </w:r>
          </w:p>
        </w:tc>
      </w:tr>
      <w:tr w:rsidR="00D34210" w:rsidRPr="00D86A77" w14:paraId="120EC3E0" w14:textId="77777777" w:rsidTr="00E27A37">
        <w:tc>
          <w:tcPr>
            <w:tcW w:w="1502" w:type="dxa"/>
          </w:tcPr>
          <w:p w14:paraId="03262BA1" w14:textId="77777777" w:rsidR="00D34210" w:rsidRPr="00D86A77" w:rsidRDefault="00D34210" w:rsidP="00E27A37">
            <w:pPr>
              <w:rPr>
                <w:rFonts w:ascii="Arial" w:hAnsi="Arial" w:cs="Arial"/>
                <w:b/>
                <w:bCs/>
                <w:sz w:val="22"/>
                <w:szCs w:val="22"/>
              </w:rPr>
            </w:pPr>
            <w:r w:rsidRPr="00D86A77">
              <w:rPr>
                <w:rFonts w:ascii="Arial" w:hAnsi="Arial" w:cs="Arial"/>
                <w:b/>
                <w:bCs/>
                <w:sz w:val="22"/>
                <w:szCs w:val="22"/>
              </w:rPr>
              <w:t>Lower Middle Quartile</w:t>
            </w:r>
          </w:p>
        </w:tc>
        <w:tc>
          <w:tcPr>
            <w:tcW w:w="1502" w:type="dxa"/>
          </w:tcPr>
          <w:p w14:paraId="6A6483D2"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2.15%</w:t>
            </w:r>
          </w:p>
        </w:tc>
        <w:tc>
          <w:tcPr>
            <w:tcW w:w="1503" w:type="dxa"/>
          </w:tcPr>
          <w:p w14:paraId="2D22024F"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2.15%</w:t>
            </w:r>
          </w:p>
        </w:tc>
        <w:tc>
          <w:tcPr>
            <w:tcW w:w="1503" w:type="dxa"/>
          </w:tcPr>
          <w:p w14:paraId="0CBF5437"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29.03%</w:t>
            </w:r>
          </w:p>
        </w:tc>
        <w:tc>
          <w:tcPr>
            <w:tcW w:w="1503" w:type="dxa"/>
          </w:tcPr>
          <w:p w14:paraId="230E6859"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0%</w:t>
            </w:r>
          </w:p>
        </w:tc>
        <w:tc>
          <w:tcPr>
            <w:tcW w:w="1503" w:type="dxa"/>
          </w:tcPr>
          <w:p w14:paraId="7AC5D1CE"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66.67%</w:t>
            </w:r>
          </w:p>
        </w:tc>
      </w:tr>
      <w:tr w:rsidR="00D34210" w:rsidRPr="00D86A77" w14:paraId="059DBFCB" w14:textId="77777777" w:rsidTr="00E27A37">
        <w:tc>
          <w:tcPr>
            <w:tcW w:w="1502" w:type="dxa"/>
          </w:tcPr>
          <w:p w14:paraId="5B7D1B8D" w14:textId="77777777" w:rsidR="00D34210" w:rsidRPr="00D86A77" w:rsidRDefault="00D34210" w:rsidP="00E27A37">
            <w:pPr>
              <w:rPr>
                <w:rFonts w:ascii="Arial" w:hAnsi="Arial" w:cs="Arial"/>
                <w:b/>
                <w:bCs/>
                <w:sz w:val="22"/>
                <w:szCs w:val="22"/>
              </w:rPr>
            </w:pPr>
            <w:r w:rsidRPr="00D86A77">
              <w:rPr>
                <w:rFonts w:ascii="Arial" w:hAnsi="Arial" w:cs="Arial"/>
                <w:b/>
                <w:bCs/>
                <w:sz w:val="22"/>
                <w:szCs w:val="22"/>
              </w:rPr>
              <w:t>Upper Middle Quartile</w:t>
            </w:r>
          </w:p>
        </w:tc>
        <w:tc>
          <w:tcPr>
            <w:tcW w:w="1502" w:type="dxa"/>
          </w:tcPr>
          <w:p w14:paraId="6996CC62"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1.08%</w:t>
            </w:r>
          </w:p>
        </w:tc>
        <w:tc>
          <w:tcPr>
            <w:tcW w:w="1503" w:type="dxa"/>
          </w:tcPr>
          <w:p w14:paraId="592BB579"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5.38%</w:t>
            </w:r>
          </w:p>
        </w:tc>
        <w:tc>
          <w:tcPr>
            <w:tcW w:w="1503" w:type="dxa"/>
          </w:tcPr>
          <w:p w14:paraId="7CDDD60B"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20.43%</w:t>
            </w:r>
          </w:p>
        </w:tc>
        <w:tc>
          <w:tcPr>
            <w:tcW w:w="1503" w:type="dxa"/>
          </w:tcPr>
          <w:p w14:paraId="65696432"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3.23%</w:t>
            </w:r>
          </w:p>
        </w:tc>
        <w:tc>
          <w:tcPr>
            <w:tcW w:w="1503" w:type="dxa"/>
          </w:tcPr>
          <w:p w14:paraId="1735CA47"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69.89%</w:t>
            </w:r>
          </w:p>
        </w:tc>
      </w:tr>
      <w:tr w:rsidR="00D34210" w:rsidRPr="00D86A77" w14:paraId="2DE06F61" w14:textId="77777777" w:rsidTr="00E27A37">
        <w:tc>
          <w:tcPr>
            <w:tcW w:w="1502" w:type="dxa"/>
          </w:tcPr>
          <w:p w14:paraId="0FD3727D" w14:textId="77777777" w:rsidR="00D34210" w:rsidRPr="00D86A77" w:rsidRDefault="00D34210" w:rsidP="00E27A37">
            <w:pPr>
              <w:rPr>
                <w:rFonts w:ascii="Arial" w:hAnsi="Arial" w:cs="Arial"/>
                <w:b/>
                <w:bCs/>
                <w:sz w:val="22"/>
                <w:szCs w:val="22"/>
              </w:rPr>
            </w:pPr>
            <w:r w:rsidRPr="00D86A77">
              <w:rPr>
                <w:rFonts w:ascii="Arial" w:hAnsi="Arial" w:cs="Arial"/>
                <w:b/>
                <w:bCs/>
                <w:sz w:val="22"/>
                <w:szCs w:val="22"/>
              </w:rPr>
              <w:t>Upper Quartile</w:t>
            </w:r>
          </w:p>
        </w:tc>
        <w:tc>
          <w:tcPr>
            <w:tcW w:w="1502" w:type="dxa"/>
          </w:tcPr>
          <w:p w14:paraId="3DDBF18A"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1.12%</w:t>
            </w:r>
          </w:p>
        </w:tc>
        <w:tc>
          <w:tcPr>
            <w:tcW w:w="1503" w:type="dxa"/>
          </w:tcPr>
          <w:p w14:paraId="39CE0397"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1.12%</w:t>
            </w:r>
          </w:p>
        </w:tc>
        <w:tc>
          <w:tcPr>
            <w:tcW w:w="1503" w:type="dxa"/>
          </w:tcPr>
          <w:p w14:paraId="2F6C8422"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32.58%</w:t>
            </w:r>
          </w:p>
        </w:tc>
        <w:tc>
          <w:tcPr>
            <w:tcW w:w="1503" w:type="dxa"/>
          </w:tcPr>
          <w:p w14:paraId="7115E2BE"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2.25%</w:t>
            </w:r>
          </w:p>
        </w:tc>
        <w:tc>
          <w:tcPr>
            <w:tcW w:w="1503" w:type="dxa"/>
          </w:tcPr>
          <w:p w14:paraId="6FA87D6B" w14:textId="77777777" w:rsidR="00D34210" w:rsidRPr="00D86A77" w:rsidRDefault="00D34210" w:rsidP="00E27A37">
            <w:pPr>
              <w:rPr>
                <w:rFonts w:ascii="Arial" w:hAnsi="Arial" w:cs="Arial"/>
                <w:color w:val="000000" w:themeColor="text1"/>
                <w:sz w:val="22"/>
                <w:szCs w:val="22"/>
              </w:rPr>
            </w:pPr>
            <w:r w:rsidRPr="00D86A77">
              <w:rPr>
                <w:rFonts w:ascii="Arial" w:hAnsi="Arial" w:cs="Arial"/>
                <w:color w:val="000000" w:themeColor="text1"/>
                <w:sz w:val="22"/>
                <w:szCs w:val="22"/>
              </w:rPr>
              <w:t>62.92%</w:t>
            </w:r>
          </w:p>
        </w:tc>
      </w:tr>
    </w:tbl>
    <w:p w14:paraId="1EAEE746" w14:textId="77777777" w:rsidR="00E2141D" w:rsidRDefault="00E2141D" w:rsidP="00097C79"/>
    <w:p w14:paraId="40489131" w14:textId="258EC4D9" w:rsidR="00367350" w:rsidRPr="00717ACA" w:rsidRDefault="0035531B" w:rsidP="00097C79">
      <w:pPr>
        <w:rPr>
          <w:rFonts w:ascii="Arial" w:hAnsi="Arial" w:cs="Arial"/>
        </w:rPr>
      </w:pPr>
      <w:r w:rsidRPr="00717ACA">
        <w:rPr>
          <w:rFonts w:ascii="Arial" w:hAnsi="Arial" w:cs="Arial"/>
        </w:rPr>
        <w:t>Disabled staff are underrepresented in the upper quartile</w:t>
      </w:r>
      <w:r w:rsidR="00093954">
        <w:rPr>
          <w:rFonts w:ascii="Arial" w:hAnsi="Arial" w:cs="Arial"/>
        </w:rPr>
        <w:t>s</w:t>
      </w:r>
      <w:r w:rsidRPr="00717ACA">
        <w:rPr>
          <w:rFonts w:ascii="Arial" w:hAnsi="Arial" w:cs="Arial"/>
        </w:rPr>
        <w:t>.</w:t>
      </w:r>
    </w:p>
    <w:p w14:paraId="4E62001D" w14:textId="77777777" w:rsidR="00281949" w:rsidRDefault="00281949" w:rsidP="00097C79">
      <w:pPr>
        <w:rPr>
          <w:rFonts w:ascii="Arial" w:hAnsi="Arial" w:cs="Arial"/>
          <w:b/>
          <w:bCs/>
        </w:rPr>
      </w:pPr>
    </w:p>
    <w:p w14:paraId="0145A457" w14:textId="4959A8FC" w:rsidR="00B926AA" w:rsidRPr="00927F99" w:rsidRDefault="002B1D0E" w:rsidP="00097C79">
      <w:pPr>
        <w:rPr>
          <w:rFonts w:ascii="Arial" w:hAnsi="Arial" w:cs="Arial"/>
          <w:b/>
          <w:bCs/>
        </w:rPr>
      </w:pPr>
      <w:r w:rsidRPr="00927F99">
        <w:rPr>
          <w:rFonts w:ascii="Arial" w:hAnsi="Arial" w:cs="Arial"/>
          <w:b/>
          <w:bCs/>
        </w:rPr>
        <w:t>Benchmarking</w:t>
      </w:r>
    </w:p>
    <w:p w14:paraId="27F95D22" w14:textId="1126515D" w:rsidR="002B1D0E" w:rsidRDefault="002B1D0E" w:rsidP="00097C79">
      <w:pPr>
        <w:rPr>
          <w:rFonts w:ascii="Arial" w:hAnsi="Arial" w:cs="Arial"/>
        </w:rPr>
      </w:pPr>
      <w:r w:rsidRPr="00927F99">
        <w:rPr>
          <w:rFonts w:ascii="Arial" w:hAnsi="Arial" w:cs="Arial"/>
        </w:rPr>
        <w:t xml:space="preserve">As </w:t>
      </w:r>
      <w:r w:rsidR="00AF5543">
        <w:rPr>
          <w:rFonts w:ascii="Arial" w:hAnsi="Arial" w:cs="Arial"/>
        </w:rPr>
        <w:t xml:space="preserve">disability </w:t>
      </w:r>
      <w:r w:rsidRPr="00927F99">
        <w:rPr>
          <w:rFonts w:ascii="Arial" w:hAnsi="Arial" w:cs="Arial"/>
        </w:rPr>
        <w:t>pay gap reporting is not mandatory, benchmarking becomes more difficul</w:t>
      </w:r>
      <w:r w:rsidR="00093954">
        <w:rPr>
          <w:rFonts w:ascii="Arial" w:hAnsi="Arial" w:cs="Arial"/>
        </w:rPr>
        <w:t xml:space="preserve">t as there </w:t>
      </w:r>
      <w:r w:rsidR="008B4E9D">
        <w:rPr>
          <w:rFonts w:ascii="Arial" w:hAnsi="Arial" w:cs="Arial"/>
        </w:rPr>
        <w:t>is limited</w:t>
      </w:r>
      <w:r w:rsidR="00DC661D">
        <w:rPr>
          <w:rFonts w:ascii="Arial" w:hAnsi="Arial" w:cs="Arial"/>
        </w:rPr>
        <w:t xml:space="preserve"> </w:t>
      </w:r>
      <w:r w:rsidR="0078731B">
        <w:rPr>
          <w:rFonts w:ascii="Arial" w:hAnsi="Arial" w:cs="Arial"/>
        </w:rPr>
        <w:t xml:space="preserve">published </w:t>
      </w:r>
      <w:r w:rsidR="00DC661D">
        <w:rPr>
          <w:rFonts w:ascii="Arial" w:hAnsi="Arial" w:cs="Arial"/>
        </w:rPr>
        <w:t>data.</w:t>
      </w:r>
    </w:p>
    <w:p w14:paraId="7C786B5D" w14:textId="4C58B2C1" w:rsidR="0086735B" w:rsidRDefault="0086735B" w:rsidP="00097C79">
      <w:pPr>
        <w:rPr>
          <w:rFonts w:ascii="Arial" w:hAnsi="Arial" w:cs="Arial"/>
        </w:rPr>
      </w:pPr>
      <w:r>
        <w:rPr>
          <w:rFonts w:ascii="Arial" w:hAnsi="Arial" w:cs="Arial"/>
        </w:rPr>
        <w:t>According to the TUC analysis, the disability pay gap in the UK reached 17.2% in 202</w:t>
      </w:r>
      <w:r w:rsidR="00093954">
        <w:rPr>
          <w:rFonts w:ascii="Arial" w:hAnsi="Arial" w:cs="Arial"/>
        </w:rPr>
        <w:t>4</w:t>
      </w:r>
      <w:r>
        <w:rPr>
          <w:rFonts w:ascii="Arial" w:hAnsi="Arial" w:cs="Arial"/>
        </w:rPr>
        <w:t xml:space="preserve">, meaning disabled workers earned £2.25 less per hour than </w:t>
      </w:r>
      <w:r w:rsidR="001401A0">
        <w:rPr>
          <w:rFonts w:ascii="Arial" w:hAnsi="Arial" w:cs="Arial"/>
        </w:rPr>
        <w:t>non-disabled</w:t>
      </w:r>
      <w:r>
        <w:rPr>
          <w:rFonts w:ascii="Arial" w:hAnsi="Arial" w:cs="Arial"/>
        </w:rPr>
        <w:t xml:space="preserve"> workers.  This equates to £4</w:t>
      </w:r>
      <w:r w:rsidR="001401A0">
        <w:rPr>
          <w:rFonts w:ascii="Arial" w:hAnsi="Arial" w:cs="Arial"/>
        </w:rPr>
        <w:t>,</w:t>
      </w:r>
      <w:r>
        <w:rPr>
          <w:rFonts w:ascii="Arial" w:hAnsi="Arial" w:cs="Arial"/>
        </w:rPr>
        <w:t xml:space="preserve">300 less per year for a </w:t>
      </w:r>
      <w:r w:rsidR="00093954">
        <w:rPr>
          <w:rFonts w:ascii="Arial" w:hAnsi="Arial" w:cs="Arial"/>
        </w:rPr>
        <w:t>full-time</w:t>
      </w:r>
      <w:r>
        <w:rPr>
          <w:rFonts w:ascii="Arial" w:hAnsi="Arial" w:cs="Arial"/>
        </w:rPr>
        <w:t xml:space="preserve"> employee.  </w:t>
      </w:r>
      <w:r w:rsidR="005966CA">
        <w:rPr>
          <w:rFonts w:ascii="Arial" w:hAnsi="Arial" w:cs="Arial"/>
        </w:rPr>
        <w:t>Their data reports a wider pay gap than the Office of National Statistics which reports a median pay gap of 12.7%</w:t>
      </w:r>
      <w:r w:rsidR="00D86A77">
        <w:rPr>
          <w:rFonts w:ascii="Arial" w:hAnsi="Arial" w:cs="Arial"/>
        </w:rPr>
        <w:t>.</w:t>
      </w:r>
      <w:r w:rsidR="005966CA">
        <w:rPr>
          <w:rFonts w:ascii="Arial" w:hAnsi="Arial" w:cs="Arial"/>
        </w:rPr>
        <w:t xml:space="preserve">  </w:t>
      </w:r>
      <w:r>
        <w:rPr>
          <w:rFonts w:ascii="Arial" w:hAnsi="Arial" w:cs="Arial"/>
        </w:rPr>
        <w:t>The Office for National Statistics reported disabled workers are more likely to be employed in lower paid roles, part time or on zero hours contracts and face higher living costs.  They reported a disability employment rate of 53.1%.</w:t>
      </w:r>
    </w:p>
    <w:p w14:paraId="59EBBE77" w14:textId="74E81CC3" w:rsidR="006127AA" w:rsidRDefault="006127AA" w:rsidP="00097C79">
      <w:pPr>
        <w:rPr>
          <w:rFonts w:ascii="Arial" w:hAnsi="Arial" w:cs="Arial"/>
        </w:rPr>
      </w:pPr>
      <w:r>
        <w:rPr>
          <w:rFonts w:ascii="Arial" w:hAnsi="Arial" w:cs="Arial"/>
        </w:rPr>
        <w:t>Tamworth Borough Council</w:t>
      </w:r>
      <w:r w:rsidR="0078731B">
        <w:rPr>
          <w:rFonts w:ascii="Arial" w:hAnsi="Arial" w:cs="Arial"/>
        </w:rPr>
        <w:t xml:space="preserve">’s pay gap is </w:t>
      </w:r>
      <w:r>
        <w:rPr>
          <w:rFonts w:ascii="Arial" w:hAnsi="Arial" w:cs="Arial"/>
        </w:rPr>
        <w:t>significantly lower than the national average.</w:t>
      </w:r>
    </w:p>
    <w:p w14:paraId="469781D5" w14:textId="77777777" w:rsidR="0078731B" w:rsidRDefault="0078731B" w:rsidP="00097C79">
      <w:pPr>
        <w:rPr>
          <w:rFonts w:ascii="Arial" w:hAnsi="Arial" w:cs="Arial"/>
          <w:u w:val="single"/>
        </w:rPr>
      </w:pPr>
    </w:p>
    <w:p w14:paraId="25D66F5F" w14:textId="77777777" w:rsidR="0078731B" w:rsidRDefault="0078731B" w:rsidP="00097C79">
      <w:pPr>
        <w:rPr>
          <w:rFonts w:ascii="Arial" w:hAnsi="Arial" w:cs="Arial"/>
          <w:u w:val="single"/>
        </w:rPr>
      </w:pPr>
    </w:p>
    <w:p w14:paraId="6A1C591E" w14:textId="77777777" w:rsidR="00D86A77" w:rsidRDefault="00D86A77" w:rsidP="00097C79">
      <w:pPr>
        <w:rPr>
          <w:rFonts w:ascii="Arial" w:hAnsi="Arial" w:cs="Arial"/>
          <w:u w:val="single"/>
        </w:rPr>
      </w:pPr>
    </w:p>
    <w:p w14:paraId="2BC46E93" w14:textId="77777777" w:rsidR="00D86A77" w:rsidRDefault="00D86A77" w:rsidP="00097C79">
      <w:pPr>
        <w:rPr>
          <w:rFonts w:ascii="Arial" w:hAnsi="Arial" w:cs="Arial"/>
          <w:u w:val="single"/>
        </w:rPr>
      </w:pPr>
    </w:p>
    <w:p w14:paraId="5F2C4551" w14:textId="3D5CA298" w:rsidR="0086735B" w:rsidRPr="006127AA" w:rsidRDefault="00093954" w:rsidP="00097C79">
      <w:pPr>
        <w:rPr>
          <w:rFonts w:ascii="Arial" w:hAnsi="Arial" w:cs="Arial"/>
          <w:u w:val="single"/>
        </w:rPr>
      </w:pPr>
      <w:r w:rsidRPr="006127AA">
        <w:rPr>
          <w:rFonts w:ascii="Arial" w:hAnsi="Arial" w:cs="Arial"/>
          <w:u w:val="single"/>
        </w:rPr>
        <w:lastRenderedPageBreak/>
        <w:t>Benchmarking data</w:t>
      </w:r>
      <w:r w:rsidR="006127AA">
        <w:rPr>
          <w:rFonts w:ascii="Arial" w:hAnsi="Arial" w:cs="Arial"/>
          <w:u w:val="single"/>
        </w:rPr>
        <w:t>:</w:t>
      </w:r>
    </w:p>
    <w:tbl>
      <w:tblPr>
        <w:tblStyle w:val="TableGrid"/>
        <w:tblW w:w="0" w:type="auto"/>
        <w:tblLook w:val="04A0" w:firstRow="1" w:lastRow="0" w:firstColumn="1" w:lastColumn="0" w:noHBand="0" w:noVBand="1"/>
      </w:tblPr>
      <w:tblGrid>
        <w:gridCol w:w="5949"/>
        <w:gridCol w:w="1417"/>
        <w:gridCol w:w="1650"/>
      </w:tblGrid>
      <w:tr w:rsidR="00093954" w14:paraId="5F323659" w14:textId="77777777" w:rsidTr="0078731B">
        <w:tc>
          <w:tcPr>
            <w:tcW w:w="5949" w:type="dxa"/>
          </w:tcPr>
          <w:p w14:paraId="4AD06B30" w14:textId="77777777" w:rsidR="00093954" w:rsidRPr="006127AA" w:rsidRDefault="00093954" w:rsidP="00097C79">
            <w:pPr>
              <w:rPr>
                <w:rFonts w:ascii="Arial" w:hAnsi="Arial" w:cs="Arial"/>
                <w:b/>
                <w:bCs/>
                <w:sz w:val="22"/>
                <w:szCs w:val="22"/>
              </w:rPr>
            </w:pPr>
          </w:p>
        </w:tc>
        <w:tc>
          <w:tcPr>
            <w:tcW w:w="1417" w:type="dxa"/>
          </w:tcPr>
          <w:p w14:paraId="38ACFFB5" w14:textId="3BF09D34" w:rsidR="00093954" w:rsidRPr="006127AA" w:rsidRDefault="00093954" w:rsidP="00097C79">
            <w:pPr>
              <w:rPr>
                <w:rFonts w:ascii="Arial" w:hAnsi="Arial" w:cs="Arial"/>
                <w:b/>
                <w:bCs/>
                <w:sz w:val="22"/>
                <w:szCs w:val="22"/>
              </w:rPr>
            </w:pPr>
            <w:r w:rsidRPr="006127AA">
              <w:rPr>
                <w:rFonts w:ascii="Arial" w:hAnsi="Arial" w:cs="Arial"/>
                <w:b/>
                <w:bCs/>
                <w:sz w:val="22"/>
                <w:szCs w:val="22"/>
              </w:rPr>
              <w:t>Median</w:t>
            </w:r>
          </w:p>
        </w:tc>
        <w:tc>
          <w:tcPr>
            <w:tcW w:w="1650" w:type="dxa"/>
          </w:tcPr>
          <w:p w14:paraId="5FDA927A" w14:textId="31C8B5C4" w:rsidR="00093954" w:rsidRPr="006127AA" w:rsidRDefault="00093954" w:rsidP="00097C79">
            <w:pPr>
              <w:rPr>
                <w:rFonts w:ascii="Arial" w:hAnsi="Arial" w:cs="Arial"/>
                <w:b/>
                <w:bCs/>
                <w:sz w:val="22"/>
                <w:szCs w:val="22"/>
              </w:rPr>
            </w:pPr>
            <w:r w:rsidRPr="006127AA">
              <w:rPr>
                <w:rFonts w:ascii="Arial" w:hAnsi="Arial" w:cs="Arial"/>
                <w:b/>
                <w:bCs/>
                <w:sz w:val="22"/>
                <w:szCs w:val="22"/>
              </w:rPr>
              <w:t>Mean</w:t>
            </w:r>
          </w:p>
        </w:tc>
      </w:tr>
      <w:tr w:rsidR="00A3557D" w14:paraId="4AD8AE38" w14:textId="77777777" w:rsidTr="0078731B">
        <w:tc>
          <w:tcPr>
            <w:tcW w:w="5949" w:type="dxa"/>
          </w:tcPr>
          <w:p w14:paraId="5099D3A7" w14:textId="1D4238E5" w:rsidR="00A3557D" w:rsidRPr="006127AA" w:rsidRDefault="00A3557D" w:rsidP="00A3557D">
            <w:pPr>
              <w:rPr>
                <w:rFonts w:ascii="Arial" w:hAnsi="Arial" w:cs="Arial"/>
                <w:sz w:val="22"/>
                <w:szCs w:val="22"/>
              </w:rPr>
            </w:pPr>
            <w:r w:rsidRPr="006127AA">
              <w:rPr>
                <w:rFonts w:ascii="Arial" w:hAnsi="Arial" w:cs="Arial"/>
                <w:sz w:val="22"/>
                <w:szCs w:val="22"/>
              </w:rPr>
              <w:t>Office of National Statistics</w:t>
            </w:r>
            <w:r w:rsidR="005966CA" w:rsidRPr="006127AA">
              <w:rPr>
                <w:rFonts w:ascii="Arial" w:hAnsi="Arial" w:cs="Arial"/>
                <w:sz w:val="22"/>
                <w:szCs w:val="22"/>
              </w:rPr>
              <w:t xml:space="preserve"> average for England</w:t>
            </w:r>
            <w:r w:rsidR="0078731B">
              <w:rPr>
                <w:rFonts w:ascii="Arial" w:hAnsi="Arial" w:cs="Arial"/>
                <w:sz w:val="22"/>
                <w:szCs w:val="22"/>
              </w:rPr>
              <w:t xml:space="preserve"> average</w:t>
            </w:r>
          </w:p>
        </w:tc>
        <w:tc>
          <w:tcPr>
            <w:tcW w:w="1417" w:type="dxa"/>
          </w:tcPr>
          <w:p w14:paraId="385997C4" w14:textId="43E2A3E9" w:rsidR="00A3557D" w:rsidRPr="006127AA" w:rsidRDefault="00A3557D" w:rsidP="00A3557D">
            <w:pPr>
              <w:rPr>
                <w:rFonts w:ascii="Arial" w:hAnsi="Arial" w:cs="Arial"/>
                <w:sz w:val="22"/>
                <w:szCs w:val="22"/>
              </w:rPr>
            </w:pPr>
            <w:r w:rsidRPr="006127AA">
              <w:rPr>
                <w:rFonts w:ascii="Arial" w:hAnsi="Arial" w:cs="Arial"/>
                <w:sz w:val="22"/>
                <w:szCs w:val="22"/>
              </w:rPr>
              <w:t>12.7%</w:t>
            </w:r>
          </w:p>
        </w:tc>
        <w:tc>
          <w:tcPr>
            <w:tcW w:w="1650" w:type="dxa"/>
          </w:tcPr>
          <w:p w14:paraId="60201BD5" w14:textId="68B70CF1" w:rsidR="00A3557D" w:rsidRPr="006127AA" w:rsidRDefault="00A3557D" w:rsidP="00A3557D">
            <w:pPr>
              <w:rPr>
                <w:rFonts w:ascii="Arial" w:hAnsi="Arial" w:cs="Arial"/>
                <w:sz w:val="22"/>
                <w:szCs w:val="22"/>
              </w:rPr>
            </w:pPr>
            <w:r w:rsidRPr="006127AA">
              <w:rPr>
                <w:rFonts w:ascii="Arial" w:hAnsi="Arial" w:cs="Arial"/>
                <w:sz w:val="22"/>
                <w:szCs w:val="22"/>
              </w:rPr>
              <w:t>-</w:t>
            </w:r>
          </w:p>
        </w:tc>
      </w:tr>
      <w:tr w:rsidR="005966CA" w14:paraId="43985790" w14:textId="77777777" w:rsidTr="0078731B">
        <w:tc>
          <w:tcPr>
            <w:tcW w:w="5949" w:type="dxa"/>
          </w:tcPr>
          <w:p w14:paraId="1E95C15F" w14:textId="6D05AE4A" w:rsidR="005966CA" w:rsidRPr="006127AA" w:rsidRDefault="005966CA" w:rsidP="00A3557D">
            <w:pPr>
              <w:rPr>
                <w:rFonts w:ascii="Arial" w:hAnsi="Arial" w:cs="Arial"/>
                <w:sz w:val="22"/>
                <w:szCs w:val="22"/>
              </w:rPr>
            </w:pPr>
            <w:r w:rsidRPr="006127AA">
              <w:rPr>
                <w:rFonts w:ascii="Arial" w:hAnsi="Arial" w:cs="Arial"/>
                <w:sz w:val="22"/>
                <w:szCs w:val="22"/>
              </w:rPr>
              <w:t>TUC</w:t>
            </w:r>
            <w:r w:rsidR="0078731B">
              <w:rPr>
                <w:rFonts w:ascii="Arial" w:hAnsi="Arial" w:cs="Arial"/>
                <w:sz w:val="22"/>
                <w:szCs w:val="22"/>
              </w:rPr>
              <w:t xml:space="preserve"> average</w:t>
            </w:r>
          </w:p>
        </w:tc>
        <w:tc>
          <w:tcPr>
            <w:tcW w:w="1417" w:type="dxa"/>
          </w:tcPr>
          <w:p w14:paraId="7228264F" w14:textId="6F7492F0" w:rsidR="005966CA" w:rsidRPr="006127AA" w:rsidRDefault="005966CA" w:rsidP="00A3557D">
            <w:pPr>
              <w:rPr>
                <w:rFonts w:ascii="Arial" w:hAnsi="Arial" w:cs="Arial"/>
                <w:sz w:val="22"/>
                <w:szCs w:val="22"/>
              </w:rPr>
            </w:pPr>
            <w:r w:rsidRPr="006127AA">
              <w:rPr>
                <w:rFonts w:ascii="Arial" w:hAnsi="Arial" w:cs="Arial"/>
                <w:sz w:val="22"/>
                <w:szCs w:val="22"/>
              </w:rPr>
              <w:t>17.2%</w:t>
            </w:r>
          </w:p>
        </w:tc>
        <w:tc>
          <w:tcPr>
            <w:tcW w:w="1650" w:type="dxa"/>
          </w:tcPr>
          <w:p w14:paraId="0952ABE0" w14:textId="6635E2BE" w:rsidR="005966CA" w:rsidRPr="006127AA" w:rsidRDefault="005966CA" w:rsidP="00A3557D">
            <w:pPr>
              <w:rPr>
                <w:rFonts w:ascii="Arial" w:hAnsi="Arial" w:cs="Arial"/>
                <w:sz w:val="22"/>
                <w:szCs w:val="22"/>
              </w:rPr>
            </w:pPr>
            <w:r w:rsidRPr="006127AA">
              <w:rPr>
                <w:rFonts w:ascii="Arial" w:hAnsi="Arial" w:cs="Arial"/>
                <w:sz w:val="22"/>
                <w:szCs w:val="22"/>
              </w:rPr>
              <w:t>-</w:t>
            </w:r>
          </w:p>
        </w:tc>
      </w:tr>
      <w:tr w:rsidR="00A3557D" w14:paraId="18A78902" w14:textId="77777777" w:rsidTr="0078731B">
        <w:tc>
          <w:tcPr>
            <w:tcW w:w="5949" w:type="dxa"/>
          </w:tcPr>
          <w:p w14:paraId="4DFF87F5" w14:textId="79417B86" w:rsidR="00A3557D" w:rsidRPr="006127AA" w:rsidRDefault="00A3557D" w:rsidP="00A3557D">
            <w:pPr>
              <w:rPr>
                <w:rFonts w:ascii="Arial" w:hAnsi="Arial" w:cs="Arial"/>
                <w:sz w:val="22"/>
                <w:szCs w:val="22"/>
              </w:rPr>
            </w:pPr>
            <w:r w:rsidRPr="006127AA">
              <w:rPr>
                <w:rFonts w:ascii="Arial" w:hAnsi="Arial" w:cs="Arial"/>
                <w:sz w:val="22"/>
                <w:szCs w:val="22"/>
              </w:rPr>
              <w:t>Wolverhampton City Council</w:t>
            </w:r>
          </w:p>
        </w:tc>
        <w:tc>
          <w:tcPr>
            <w:tcW w:w="1417" w:type="dxa"/>
          </w:tcPr>
          <w:p w14:paraId="5F0FA462" w14:textId="7B79BB07" w:rsidR="00A3557D" w:rsidRPr="006127AA" w:rsidRDefault="00A3557D" w:rsidP="00A3557D">
            <w:pPr>
              <w:rPr>
                <w:rFonts w:ascii="Arial" w:hAnsi="Arial" w:cs="Arial"/>
                <w:sz w:val="22"/>
                <w:szCs w:val="22"/>
              </w:rPr>
            </w:pPr>
            <w:r w:rsidRPr="006127AA">
              <w:rPr>
                <w:rFonts w:ascii="Arial" w:hAnsi="Arial" w:cs="Arial"/>
                <w:sz w:val="22"/>
                <w:szCs w:val="22"/>
              </w:rPr>
              <w:t>-</w:t>
            </w:r>
            <w:r w:rsidR="005966CA" w:rsidRPr="006127AA">
              <w:rPr>
                <w:rFonts w:ascii="Arial" w:hAnsi="Arial" w:cs="Arial"/>
                <w:sz w:val="22"/>
                <w:szCs w:val="22"/>
              </w:rPr>
              <w:t>2</w:t>
            </w:r>
            <w:r w:rsidRPr="006127AA">
              <w:rPr>
                <w:rFonts w:ascii="Arial" w:hAnsi="Arial" w:cs="Arial"/>
                <w:sz w:val="22"/>
                <w:szCs w:val="22"/>
              </w:rPr>
              <w:t>.3%</w:t>
            </w:r>
          </w:p>
        </w:tc>
        <w:tc>
          <w:tcPr>
            <w:tcW w:w="1650" w:type="dxa"/>
          </w:tcPr>
          <w:p w14:paraId="76223065" w14:textId="74D4266B" w:rsidR="00A3557D" w:rsidRPr="006127AA" w:rsidRDefault="00A3557D" w:rsidP="00A3557D">
            <w:pPr>
              <w:rPr>
                <w:rFonts w:ascii="Arial" w:hAnsi="Arial" w:cs="Arial"/>
                <w:sz w:val="22"/>
                <w:szCs w:val="22"/>
              </w:rPr>
            </w:pPr>
            <w:r w:rsidRPr="006127AA">
              <w:rPr>
                <w:rFonts w:ascii="Arial" w:hAnsi="Arial" w:cs="Arial"/>
                <w:sz w:val="22"/>
                <w:szCs w:val="22"/>
              </w:rPr>
              <w:t>-</w:t>
            </w:r>
            <w:r w:rsidR="005966CA" w:rsidRPr="006127AA">
              <w:rPr>
                <w:rFonts w:ascii="Arial" w:hAnsi="Arial" w:cs="Arial"/>
                <w:sz w:val="22"/>
                <w:szCs w:val="22"/>
              </w:rPr>
              <w:t>0.9%</w:t>
            </w:r>
          </w:p>
        </w:tc>
      </w:tr>
      <w:tr w:rsidR="00A3557D" w14:paraId="0CC061E5" w14:textId="77777777" w:rsidTr="0078731B">
        <w:tc>
          <w:tcPr>
            <w:tcW w:w="5949" w:type="dxa"/>
          </w:tcPr>
          <w:p w14:paraId="6E3FBE02" w14:textId="21863702" w:rsidR="00A3557D" w:rsidRPr="006127AA" w:rsidRDefault="00A3557D" w:rsidP="00A3557D">
            <w:pPr>
              <w:rPr>
                <w:rFonts w:ascii="Arial" w:hAnsi="Arial" w:cs="Arial"/>
                <w:sz w:val="22"/>
                <w:szCs w:val="22"/>
              </w:rPr>
            </w:pPr>
            <w:r w:rsidRPr="006127AA">
              <w:rPr>
                <w:rFonts w:ascii="Arial" w:hAnsi="Arial" w:cs="Arial"/>
                <w:sz w:val="22"/>
                <w:szCs w:val="22"/>
              </w:rPr>
              <w:t>Reading Borough Council</w:t>
            </w:r>
          </w:p>
        </w:tc>
        <w:tc>
          <w:tcPr>
            <w:tcW w:w="1417" w:type="dxa"/>
          </w:tcPr>
          <w:p w14:paraId="1E6939FB" w14:textId="587A03A3" w:rsidR="00A3557D" w:rsidRPr="006127AA" w:rsidRDefault="00A3557D" w:rsidP="00A3557D">
            <w:pPr>
              <w:rPr>
                <w:rFonts w:ascii="Arial" w:hAnsi="Arial" w:cs="Arial"/>
                <w:sz w:val="22"/>
                <w:szCs w:val="22"/>
              </w:rPr>
            </w:pPr>
            <w:r w:rsidRPr="006127AA">
              <w:rPr>
                <w:rFonts w:ascii="Arial" w:hAnsi="Arial" w:cs="Arial"/>
                <w:sz w:val="22"/>
                <w:szCs w:val="22"/>
              </w:rPr>
              <w:t>0%</w:t>
            </w:r>
          </w:p>
        </w:tc>
        <w:tc>
          <w:tcPr>
            <w:tcW w:w="1650" w:type="dxa"/>
          </w:tcPr>
          <w:p w14:paraId="45E21159" w14:textId="017EA1BD" w:rsidR="00A3557D" w:rsidRPr="006127AA" w:rsidRDefault="00A3557D" w:rsidP="00A3557D">
            <w:pPr>
              <w:rPr>
                <w:rFonts w:ascii="Arial" w:hAnsi="Arial" w:cs="Arial"/>
                <w:sz w:val="22"/>
                <w:szCs w:val="22"/>
              </w:rPr>
            </w:pPr>
            <w:r w:rsidRPr="006127AA">
              <w:rPr>
                <w:rFonts w:ascii="Arial" w:hAnsi="Arial" w:cs="Arial"/>
                <w:sz w:val="22"/>
                <w:szCs w:val="22"/>
              </w:rPr>
              <w:t>2.05%</w:t>
            </w:r>
          </w:p>
        </w:tc>
      </w:tr>
      <w:tr w:rsidR="00A3557D" w14:paraId="6BF213DD" w14:textId="77777777" w:rsidTr="0078731B">
        <w:tc>
          <w:tcPr>
            <w:tcW w:w="5949" w:type="dxa"/>
          </w:tcPr>
          <w:p w14:paraId="4B784A82" w14:textId="7E0CA71F" w:rsidR="00A3557D" w:rsidRPr="006127AA" w:rsidRDefault="00A3557D" w:rsidP="00A3557D">
            <w:pPr>
              <w:rPr>
                <w:rFonts w:ascii="Arial" w:hAnsi="Arial" w:cs="Arial"/>
                <w:sz w:val="22"/>
                <w:szCs w:val="22"/>
              </w:rPr>
            </w:pPr>
            <w:r w:rsidRPr="006127AA">
              <w:rPr>
                <w:rFonts w:ascii="Arial" w:hAnsi="Arial" w:cs="Arial"/>
                <w:sz w:val="22"/>
                <w:szCs w:val="22"/>
              </w:rPr>
              <w:t>Brighton and Hove City Council</w:t>
            </w:r>
          </w:p>
        </w:tc>
        <w:tc>
          <w:tcPr>
            <w:tcW w:w="1417" w:type="dxa"/>
          </w:tcPr>
          <w:p w14:paraId="60CF3F88" w14:textId="1802CB78" w:rsidR="00A3557D" w:rsidRPr="006127AA" w:rsidRDefault="00A3557D" w:rsidP="00A3557D">
            <w:pPr>
              <w:rPr>
                <w:rFonts w:ascii="Arial" w:hAnsi="Arial" w:cs="Arial"/>
                <w:sz w:val="22"/>
                <w:szCs w:val="22"/>
              </w:rPr>
            </w:pPr>
            <w:r w:rsidRPr="006127AA">
              <w:rPr>
                <w:rFonts w:ascii="Arial" w:hAnsi="Arial" w:cs="Arial"/>
                <w:sz w:val="22"/>
                <w:szCs w:val="22"/>
              </w:rPr>
              <w:t>2.7%</w:t>
            </w:r>
          </w:p>
        </w:tc>
        <w:tc>
          <w:tcPr>
            <w:tcW w:w="1650" w:type="dxa"/>
          </w:tcPr>
          <w:p w14:paraId="09C52A3D" w14:textId="122058E8" w:rsidR="00A3557D" w:rsidRPr="006127AA" w:rsidRDefault="00A3557D" w:rsidP="00A3557D">
            <w:pPr>
              <w:rPr>
                <w:rFonts w:ascii="Arial" w:hAnsi="Arial" w:cs="Arial"/>
                <w:sz w:val="22"/>
                <w:szCs w:val="22"/>
              </w:rPr>
            </w:pPr>
            <w:r w:rsidRPr="006127AA">
              <w:rPr>
                <w:rFonts w:ascii="Arial" w:hAnsi="Arial" w:cs="Arial"/>
                <w:sz w:val="22"/>
                <w:szCs w:val="22"/>
              </w:rPr>
              <w:t>3.4%</w:t>
            </w:r>
          </w:p>
        </w:tc>
      </w:tr>
      <w:tr w:rsidR="00A3557D" w14:paraId="2BBC331B" w14:textId="77777777" w:rsidTr="0078731B">
        <w:tc>
          <w:tcPr>
            <w:tcW w:w="5949" w:type="dxa"/>
          </w:tcPr>
          <w:p w14:paraId="3441B853" w14:textId="61BBF805" w:rsidR="00A3557D" w:rsidRPr="006127AA" w:rsidRDefault="00A3557D" w:rsidP="00A3557D">
            <w:pPr>
              <w:rPr>
                <w:rFonts w:ascii="Arial" w:hAnsi="Arial" w:cs="Arial"/>
                <w:sz w:val="22"/>
                <w:szCs w:val="22"/>
              </w:rPr>
            </w:pPr>
            <w:r w:rsidRPr="006127AA">
              <w:rPr>
                <w:rFonts w:ascii="Arial" w:hAnsi="Arial" w:cs="Arial"/>
                <w:sz w:val="22"/>
                <w:szCs w:val="22"/>
              </w:rPr>
              <w:t>University of Staffordshire</w:t>
            </w:r>
          </w:p>
        </w:tc>
        <w:tc>
          <w:tcPr>
            <w:tcW w:w="1417" w:type="dxa"/>
          </w:tcPr>
          <w:p w14:paraId="584906B7" w14:textId="05281872" w:rsidR="00A3557D" w:rsidRPr="006127AA" w:rsidRDefault="0078731B" w:rsidP="00A3557D">
            <w:pPr>
              <w:rPr>
                <w:rFonts w:ascii="Arial" w:hAnsi="Arial" w:cs="Arial"/>
                <w:sz w:val="22"/>
                <w:szCs w:val="22"/>
              </w:rPr>
            </w:pPr>
            <w:r>
              <w:rPr>
                <w:rFonts w:ascii="Arial" w:hAnsi="Arial" w:cs="Arial"/>
                <w:sz w:val="22"/>
                <w:szCs w:val="22"/>
              </w:rPr>
              <w:t>-</w:t>
            </w:r>
          </w:p>
        </w:tc>
        <w:tc>
          <w:tcPr>
            <w:tcW w:w="1650" w:type="dxa"/>
          </w:tcPr>
          <w:p w14:paraId="04938E06" w14:textId="778F07FE" w:rsidR="00A3557D" w:rsidRPr="006127AA" w:rsidRDefault="00A3557D" w:rsidP="00A3557D">
            <w:pPr>
              <w:rPr>
                <w:rFonts w:ascii="Arial" w:hAnsi="Arial" w:cs="Arial"/>
                <w:sz w:val="22"/>
                <w:szCs w:val="22"/>
              </w:rPr>
            </w:pPr>
            <w:r w:rsidRPr="006127AA">
              <w:rPr>
                <w:rFonts w:ascii="Arial" w:hAnsi="Arial" w:cs="Arial"/>
                <w:sz w:val="22"/>
                <w:szCs w:val="22"/>
              </w:rPr>
              <w:t>4.18%</w:t>
            </w:r>
          </w:p>
        </w:tc>
      </w:tr>
      <w:tr w:rsidR="00A3557D" w14:paraId="1F13ABCD" w14:textId="77777777" w:rsidTr="0078731B">
        <w:tc>
          <w:tcPr>
            <w:tcW w:w="5949" w:type="dxa"/>
          </w:tcPr>
          <w:p w14:paraId="460D61B3" w14:textId="76BE4E14" w:rsidR="00A3557D" w:rsidRPr="006127AA" w:rsidRDefault="00A3557D" w:rsidP="00A3557D">
            <w:pPr>
              <w:rPr>
                <w:rFonts w:ascii="Arial" w:hAnsi="Arial" w:cs="Arial"/>
                <w:sz w:val="22"/>
                <w:szCs w:val="22"/>
              </w:rPr>
            </w:pPr>
            <w:r w:rsidRPr="006127AA">
              <w:rPr>
                <w:rFonts w:ascii="Arial" w:hAnsi="Arial" w:cs="Arial"/>
                <w:sz w:val="22"/>
                <w:szCs w:val="22"/>
              </w:rPr>
              <w:t>West Midlands Combined Authority</w:t>
            </w:r>
          </w:p>
        </w:tc>
        <w:tc>
          <w:tcPr>
            <w:tcW w:w="1417" w:type="dxa"/>
          </w:tcPr>
          <w:p w14:paraId="0A69E347" w14:textId="21074174" w:rsidR="00A3557D" w:rsidRPr="006127AA" w:rsidRDefault="00A3557D" w:rsidP="00A3557D">
            <w:pPr>
              <w:rPr>
                <w:rFonts w:ascii="Arial" w:hAnsi="Arial" w:cs="Arial"/>
                <w:sz w:val="22"/>
                <w:szCs w:val="22"/>
              </w:rPr>
            </w:pPr>
            <w:r w:rsidRPr="006127AA">
              <w:rPr>
                <w:rFonts w:ascii="Arial" w:hAnsi="Arial" w:cs="Arial"/>
                <w:sz w:val="22"/>
                <w:szCs w:val="22"/>
              </w:rPr>
              <w:t>17.7%</w:t>
            </w:r>
          </w:p>
        </w:tc>
        <w:tc>
          <w:tcPr>
            <w:tcW w:w="1650" w:type="dxa"/>
          </w:tcPr>
          <w:p w14:paraId="1B40C6B4" w14:textId="09D2DF3F" w:rsidR="00A3557D" w:rsidRPr="006127AA" w:rsidRDefault="005966CA" w:rsidP="00A3557D">
            <w:pPr>
              <w:rPr>
                <w:rFonts w:ascii="Arial" w:hAnsi="Arial" w:cs="Arial"/>
                <w:sz w:val="22"/>
                <w:szCs w:val="22"/>
              </w:rPr>
            </w:pPr>
            <w:r w:rsidRPr="006127AA">
              <w:rPr>
                <w:rFonts w:ascii="Arial" w:hAnsi="Arial" w:cs="Arial"/>
                <w:sz w:val="22"/>
                <w:szCs w:val="22"/>
              </w:rPr>
              <w:t>-</w:t>
            </w:r>
          </w:p>
        </w:tc>
      </w:tr>
      <w:tr w:rsidR="005966CA" w14:paraId="64F0F96B" w14:textId="77777777" w:rsidTr="0078731B">
        <w:tc>
          <w:tcPr>
            <w:tcW w:w="5949" w:type="dxa"/>
          </w:tcPr>
          <w:p w14:paraId="66635295" w14:textId="58C52E4D" w:rsidR="005966CA" w:rsidRPr="006127AA" w:rsidRDefault="005966CA" w:rsidP="00A3557D">
            <w:pPr>
              <w:rPr>
                <w:rFonts w:ascii="Arial" w:hAnsi="Arial" w:cs="Arial"/>
                <w:sz w:val="22"/>
                <w:szCs w:val="22"/>
              </w:rPr>
            </w:pPr>
            <w:r w:rsidRPr="006127AA">
              <w:rPr>
                <w:rFonts w:ascii="Arial" w:hAnsi="Arial" w:cs="Arial"/>
                <w:sz w:val="22"/>
                <w:szCs w:val="22"/>
              </w:rPr>
              <w:t>Tamworth Borough Council</w:t>
            </w:r>
          </w:p>
        </w:tc>
        <w:tc>
          <w:tcPr>
            <w:tcW w:w="1417" w:type="dxa"/>
          </w:tcPr>
          <w:p w14:paraId="0B641172" w14:textId="71A5A0D4" w:rsidR="005966CA" w:rsidRPr="006127AA" w:rsidRDefault="005966CA" w:rsidP="00A3557D">
            <w:pPr>
              <w:rPr>
                <w:rFonts w:ascii="Arial" w:hAnsi="Arial" w:cs="Arial"/>
                <w:sz w:val="22"/>
                <w:szCs w:val="22"/>
              </w:rPr>
            </w:pPr>
            <w:r w:rsidRPr="006127AA">
              <w:rPr>
                <w:rFonts w:ascii="Arial" w:hAnsi="Arial" w:cs="Arial"/>
                <w:sz w:val="22"/>
                <w:szCs w:val="22"/>
              </w:rPr>
              <w:t>5.75%</w:t>
            </w:r>
          </w:p>
        </w:tc>
        <w:tc>
          <w:tcPr>
            <w:tcW w:w="1650" w:type="dxa"/>
          </w:tcPr>
          <w:p w14:paraId="18FE0ACC" w14:textId="6B0DFE85" w:rsidR="005966CA" w:rsidRPr="006127AA" w:rsidRDefault="005966CA" w:rsidP="00A3557D">
            <w:pPr>
              <w:rPr>
                <w:rFonts w:ascii="Arial" w:hAnsi="Arial" w:cs="Arial"/>
                <w:sz w:val="22"/>
                <w:szCs w:val="22"/>
              </w:rPr>
            </w:pPr>
            <w:r w:rsidRPr="006127AA">
              <w:rPr>
                <w:rFonts w:ascii="Arial" w:hAnsi="Arial" w:cs="Arial"/>
                <w:sz w:val="22"/>
                <w:szCs w:val="22"/>
              </w:rPr>
              <w:t>6.93%</w:t>
            </w:r>
          </w:p>
        </w:tc>
      </w:tr>
    </w:tbl>
    <w:p w14:paraId="59B39244" w14:textId="1E6F56CD" w:rsidR="00A257A6" w:rsidRPr="00927F99" w:rsidRDefault="00A257A6" w:rsidP="00097C79">
      <w:pPr>
        <w:rPr>
          <w:rFonts w:ascii="Arial" w:hAnsi="Arial" w:cs="Arial"/>
        </w:rPr>
      </w:pPr>
      <w:r w:rsidRPr="00927F99">
        <w:rPr>
          <w:rFonts w:ascii="Arial" w:hAnsi="Arial" w:cs="Arial"/>
        </w:rPr>
        <w:tab/>
      </w:r>
      <w:r w:rsidRPr="00927F99">
        <w:rPr>
          <w:rFonts w:ascii="Arial" w:hAnsi="Arial" w:cs="Arial"/>
        </w:rPr>
        <w:tab/>
      </w:r>
      <w:r w:rsidRPr="00927F99">
        <w:rPr>
          <w:rFonts w:ascii="Arial" w:hAnsi="Arial" w:cs="Arial"/>
        </w:rPr>
        <w:tab/>
      </w:r>
      <w:r w:rsidRPr="00927F99">
        <w:rPr>
          <w:rFonts w:ascii="Arial" w:hAnsi="Arial" w:cs="Arial"/>
        </w:rPr>
        <w:tab/>
      </w:r>
    </w:p>
    <w:p w14:paraId="3373F816" w14:textId="36C93424" w:rsidR="00B926AA" w:rsidRDefault="00B926AA" w:rsidP="00097C79">
      <w:pPr>
        <w:rPr>
          <w:rFonts w:ascii="Arial" w:hAnsi="Arial" w:cs="Arial"/>
          <w:b/>
          <w:bCs/>
        </w:rPr>
      </w:pPr>
      <w:r w:rsidRPr="00927F99">
        <w:rPr>
          <w:rFonts w:ascii="Arial" w:hAnsi="Arial" w:cs="Arial"/>
          <w:b/>
          <w:bCs/>
        </w:rPr>
        <w:t>Conclusion</w:t>
      </w:r>
    </w:p>
    <w:p w14:paraId="1F4B1DCD" w14:textId="0D8F1085" w:rsidR="0086735B" w:rsidRPr="0086735B" w:rsidRDefault="0086735B" w:rsidP="00097C79">
      <w:pPr>
        <w:rPr>
          <w:rFonts w:ascii="Arial" w:hAnsi="Arial" w:cs="Arial"/>
        </w:rPr>
      </w:pPr>
      <w:r w:rsidRPr="0086735B">
        <w:rPr>
          <w:rFonts w:ascii="Arial" w:hAnsi="Arial" w:cs="Arial"/>
        </w:rPr>
        <w:t>The national disability pay gap remains signifi</w:t>
      </w:r>
      <w:r w:rsidR="00093954">
        <w:rPr>
          <w:rFonts w:ascii="Arial" w:hAnsi="Arial" w:cs="Arial"/>
        </w:rPr>
        <w:t>c</w:t>
      </w:r>
      <w:r w:rsidRPr="0086735B">
        <w:rPr>
          <w:rFonts w:ascii="Arial" w:hAnsi="Arial" w:cs="Arial"/>
        </w:rPr>
        <w:t xml:space="preserve">ant, especially in comparison to gender and ethnicity gaps.  </w:t>
      </w:r>
    </w:p>
    <w:p w14:paraId="1048E23D" w14:textId="569B4D8B" w:rsidR="0086735B" w:rsidRPr="0086735B" w:rsidRDefault="0086735B" w:rsidP="00097C79">
      <w:pPr>
        <w:rPr>
          <w:rFonts w:ascii="Arial" w:hAnsi="Arial" w:cs="Arial"/>
        </w:rPr>
      </w:pPr>
      <w:r w:rsidRPr="0086735B">
        <w:rPr>
          <w:rFonts w:ascii="Arial" w:hAnsi="Arial" w:cs="Arial"/>
        </w:rPr>
        <w:t xml:space="preserve">Senior management representation of disabled staff is generally low, and where present, </w:t>
      </w:r>
      <w:r w:rsidR="00093954">
        <w:rPr>
          <w:rFonts w:ascii="Arial" w:hAnsi="Arial" w:cs="Arial"/>
        </w:rPr>
        <w:t xml:space="preserve">is </w:t>
      </w:r>
      <w:r w:rsidRPr="0086735B">
        <w:rPr>
          <w:rFonts w:ascii="Arial" w:hAnsi="Arial" w:cs="Arial"/>
        </w:rPr>
        <w:t>often not proportionate to the wider workforce.  Mandatory disability pay gap reporting is expected to be introduced which may improve transparency and accountability.</w:t>
      </w:r>
    </w:p>
    <w:p w14:paraId="3A6A3C2E" w14:textId="697CBC29" w:rsidR="00D44F04" w:rsidRDefault="00D44F04" w:rsidP="00097C79">
      <w:pPr>
        <w:rPr>
          <w:rFonts w:ascii="Arial" w:hAnsi="Arial" w:cs="Arial"/>
        </w:rPr>
      </w:pPr>
      <w:r>
        <w:rPr>
          <w:rFonts w:ascii="Arial" w:hAnsi="Arial" w:cs="Arial"/>
        </w:rPr>
        <w:t xml:space="preserve">Tamworth Borough Council remains committed to fostering a workplace that is inclusive, equitable, and reflective of the community we serve.  </w:t>
      </w:r>
      <w:r w:rsidR="008B4E9D">
        <w:rPr>
          <w:rFonts w:ascii="Arial" w:hAnsi="Arial" w:cs="Arial"/>
        </w:rPr>
        <w:t>We recognise that equality goes beyond numbers, i</w:t>
      </w:r>
      <w:r>
        <w:rPr>
          <w:rFonts w:ascii="Arial" w:hAnsi="Arial" w:cs="Arial"/>
        </w:rPr>
        <w:t xml:space="preserve">t is about creating an environment where everyone, regardless of background, has equal access to opportunity, feels valued and can thrive. </w:t>
      </w:r>
    </w:p>
    <w:p w14:paraId="23BD4F37" w14:textId="77777777" w:rsidR="00103DC8" w:rsidRDefault="00103DC8" w:rsidP="00097C79">
      <w:pPr>
        <w:rPr>
          <w:rFonts w:ascii="Arial" w:hAnsi="Arial" w:cs="Arial"/>
        </w:rPr>
      </w:pPr>
    </w:p>
    <w:p w14:paraId="4338D454" w14:textId="237F08B2" w:rsidR="00103DC8" w:rsidRPr="008D7A26" w:rsidRDefault="00103DC8" w:rsidP="00097C79">
      <w:pPr>
        <w:rPr>
          <w:rFonts w:ascii="Arial" w:hAnsi="Arial" w:cs="Arial"/>
          <w:b/>
          <w:bCs/>
        </w:rPr>
      </w:pPr>
      <w:r w:rsidRPr="008D7A26">
        <w:rPr>
          <w:rFonts w:ascii="Arial" w:hAnsi="Arial" w:cs="Arial"/>
          <w:b/>
          <w:bCs/>
        </w:rPr>
        <w:t>Action Plan</w:t>
      </w:r>
    </w:p>
    <w:p w14:paraId="74223242" w14:textId="6DE010C9" w:rsidR="00103DC8" w:rsidRDefault="00103DC8" w:rsidP="00103DC8">
      <w:pPr>
        <w:pStyle w:val="ListParagraph"/>
        <w:numPr>
          <w:ilvl w:val="0"/>
          <w:numId w:val="1"/>
        </w:numPr>
        <w:rPr>
          <w:rFonts w:ascii="Arial" w:hAnsi="Arial" w:cs="Arial"/>
        </w:rPr>
      </w:pPr>
      <w:r>
        <w:rPr>
          <w:rFonts w:ascii="Arial" w:hAnsi="Arial" w:cs="Arial"/>
        </w:rPr>
        <w:t xml:space="preserve">The </w:t>
      </w:r>
      <w:r w:rsidR="00093954">
        <w:rPr>
          <w:rFonts w:ascii="Arial" w:hAnsi="Arial" w:cs="Arial"/>
        </w:rPr>
        <w:t>disability</w:t>
      </w:r>
      <w:r>
        <w:rPr>
          <w:rFonts w:ascii="Arial" w:hAnsi="Arial" w:cs="Arial"/>
        </w:rPr>
        <w:t xml:space="preserve"> pay gap, along with the gender pay gap report, </w:t>
      </w:r>
      <w:r w:rsidR="00093954">
        <w:rPr>
          <w:rFonts w:ascii="Arial" w:hAnsi="Arial" w:cs="Arial"/>
        </w:rPr>
        <w:t>ethnicity</w:t>
      </w:r>
      <w:r>
        <w:rPr>
          <w:rFonts w:ascii="Arial" w:hAnsi="Arial" w:cs="Arial"/>
        </w:rPr>
        <w:t xml:space="preserve"> pay gap and workforce profile reports are a fundamental step towards the Council’s journey towards equality.  It will create a baseline to trac</w:t>
      </w:r>
      <w:r w:rsidR="00093954">
        <w:rPr>
          <w:rFonts w:ascii="Arial" w:hAnsi="Arial" w:cs="Arial"/>
        </w:rPr>
        <w:t>k</w:t>
      </w:r>
      <w:r>
        <w:rPr>
          <w:rFonts w:ascii="Arial" w:hAnsi="Arial" w:cs="Arial"/>
        </w:rPr>
        <w:t xml:space="preserve"> progress.</w:t>
      </w:r>
    </w:p>
    <w:p w14:paraId="265A7FBD" w14:textId="21072610" w:rsidR="00103DC8" w:rsidRDefault="00103DC8" w:rsidP="00103DC8">
      <w:pPr>
        <w:pStyle w:val="ListParagraph"/>
        <w:numPr>
          <w:ilvl w:val="0"/>
          <w:numId w:val="1"/>
        </w:numPr>
        <w:rPr>
          <w:rFonts w:ascii="Arial" w:hAnsi="Arial" w:cs="Arial"/>
        </w:rPr>
      </w:pPr>
      <w:r>
        <w:rPr>
          <w:rFonts w:ascii="Arial" w:hAnsi="Arial" w:cs="Arial"/>
        </w:rPr>
        <w:t>This report will be highlighted to staff and elected members and published on our website as part of our approach to improve inclusion and tack inequality in the workplace.</w:t>
      </w:r>
    </w:p>
    <w:p w14:paraId="3EBAFF1F" w14:textId="591E1064" w:rsidR="00103DC8" w:rsidRDefault="00103DC8" w:rsidP="00103DC8">
      <w:pPr>
        <w:pStyle w:val="ListParagraph"/>
        <w:numPr>
          <w:ilvl w:val="0"/>
          <w:numId w:val="1"/>
        </w:numPr>
        <w:rPr>
          <w:rFonts w:ascii="Arial" w:hAnsi="Arial" w:cs="Arial"/>
        </w:rPr>
      </w:pPr>
      <w:r>
        <w:rPr>
          <w:rFonts w:ascii="Arial" w:hAnsi="Arial" w:cs="Arial"/>
        </w:rPr>
        <w:t xml:space="preserve">We will continue to encourage all employees to disclose their </w:t>
      </w:r>
      <w:r w:rsidR="003428F6">
        <w:rPr>
          <w:rFonts w:ascii="Arial" w:hAnsi="Arial" w:cs="Arial"/>
        </w:rPr>
        <w:t>disability</w:t>
      </w:r>
      <w:r>
        <w:rPr>
          <w:rFonts w:ascii="Arial" w:hAnsi="Arial" w:cs="Arial"/>
        </w:rPr>
        <w:t>.</w:t>
      </w:r>
    </w:p>
    <w:p w14:paraId="518F6B55" w14:textId="271B80E2" w:rsidR="00103DC8" w:rsidRPr="00103DC8" w:rsidRDefault="00103DC8" w:rsidP="00103DC8">
      <w:pPr>
        <w:pStyle w:val="ListParagraph"/>
        <w:numPr>
          <w:ilvl w:val="0"/>
          <w:numId w:val="1"/>
        </w:numPr>
        <w:rPr>
          <w:rFonts w:ascii="Arial" w:hAnsi="Arial" w:cs="Arial"/>
        </w:rPr>
      </w:pPr>
      <w:r>
        <w:rPr>
          <w:rFonts w:ascii="Arial" w:hAnsi="Arial" w:cs="Arial"/>
        </w:rPr>
        <w:t>We will continue to work on our broader Equality and Diversity plan as outlined in the Equality and Diversity strategy.</w:t>
      </w:r>
    </w:p>
    <w:sectPr w:rsidR="00103DC8" w:rsidRPr="00103D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67579"/>
    <w:multiLevelType w:val="hybridMultilevel"/>
    <w:tmpl w:val="EF1A7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266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FA"/>
    <w:rsid w:val="00000A9F"/>
    <w:rsid w:val="00003CFA"/>
    <w:rsid w:val="00036905"/>
    <w:rsid w:val="00047310"/>
    <w:rsid w:val="00054482"/>
    <w:rsid w:val="00086535"/>
    <w:rsid w:val="00093954"/>
    <w:rsid w:val="00097C79"/>
    <w:rsid w:val="000C1269"/>
    <w:rsid w:val="000F36C2"/>
    <w:rsid w:val="00103DC8"/>
    <w:rsid w:val="0012399E"/>
    <w:rsid w:val="001401A0"/>
    <w:rsid w:val="001448C4"/>
    <w:rsid w:val="001C4A29"/>
    <w:rsid w:val="00215FE9"/>
    <w:rsid w:val="00281949"/>
    <w:rsid w:val="002B1D0E"/>
    <w:rsid w:val="002C3917"/>
    <w:rsid w:val="002C51A5"/>
    <w:rsid w:val="00337D24"/>
    <w:rsid w:val="003428F6"/>
    <w:rsid w:val="0035531B"/>
    <w:rsid w:val="00367350"/>
    <w:rsid w:val="00387264"/>
    <w:rsid w:val="003B11BD"/>
    <w:rsid w:val="003B358D"/>
    <w:rsid w:val="003D1C2F"/>
    <w:rsid w:val="00461AAD"/>
    <w:rsid w:val="004A54D3"/>
    <w:rsid w:val="00555C81"/>
    <w:rsid w:val="005966CA"/>
    <w:rsid w:val="00604FFC"/>
    <w:rsid w:val="006127AA"/>
    <w:rsid w:val="006627F7"/>
    <w:rsid w:val="006D7B99"/>
    <w:rsid w:val="00717ACA"/>
    <w:rsid w:val="0078731B"/>
    <w:rsid w:val="007B71EA"/>
    <w:rsid w:val="007F20DA"/>
    <w:rsid w:val="00823834"/>
    <w:rsid w:val="0084660B"/>
    <w:rsid w:val="0086735B"/>
    <w:rsid w:val="008A1CEA"/>
    <w:rsid w:val="008B4E9D"/>
    <w:rsid w:val="008C1513"/>
    <w:rsid w:val="008D7A26"/>
    <w:rsid w:val="00927F99"/>
    <w:rsid w:val="00994A8D"/>
    <w:rsid w:val="009B2F53"/>
    <w:rsid w:val="00A257A6"/>
    <w:rsid w:val="00A3557D"/>
    <w:rsid w:val="00A7149F"/>
    <w:rsid w:val="00AD5106"/>
    <w:rsid w:val="00AE659F"/>
    <w:rsid w:val="00AF5543"/>
    <w:rsid w:val="00B44AAB"/>
    <w:rsid w:val="00B926AA"/>
    <w:rsid w:val="00B94145"/>
    <w:rsid w:val="00C36A5F"/>
    <w:rsid w:val="00C60805"/>
    <w:rsid w:val="00C61DE0"/>
    <w:rsid w:val="00C87FC6"/>
    <w:rsid w:val="00CB6CAB"/>
    <w:rsid w:val="00CC1D6E"/>
    <w:rsid w:val="00CE0853"/>
    <w:rsid w:val="00D34210"/>
    <w:rsid w:val="00D44F04"/>
    <w:rsid w:val="00D86A77"/>
    <w:rsid w:val="00DC661D"/>
    <w:rsid w:val="00E2141D"/>
    <w:rsid w:val="00E267F5"/>
    <w:rsid w:val="00E61EEE"/>
    <w:rsid w:val="00F3077A"/>
    <w:rsid w:val="00F67264"/>
    <w:rsid w:val="00F8471B"/>
    <w:rsid w:val="00FC23C5"/>
    <w:rsid w:val="00FD1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E5127"/>
  <w15:chartTrackingRefBased/>
  <w15:docId w15:val="{37181181-93D9-47C5-86B7-2D3892F3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C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C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C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C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C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C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C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C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C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C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C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C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C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C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C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C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C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CFA"/>
    <w:rPr>
      <w:rFonts w:eastAsiaTheme="majorEastAsia" w:cstheme="majorBidi"/>
      <w:color w:val="272727" w:themeColor="text1" w:themeTint="D8"/>
    </w:rPr>
  </w:style>
  <w:style w:type="paragraph" w:styleId="Title">
    <w:name w:val="Title"/>
    <w:basedOn w:val="Normal"/>
    <w:next w:val="Normal"/>
    <w:link w:val="TitleChar"/>
    <w:uiPriority w:val="10"/>
    <w:qFormat/>
    <w:rsid w:val="00003C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C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C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C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CFA"/>
    <w:pPr>
      <w:spacing w:before="160"/>
      <w:jc w:val="center"/>
    </w:pPr>
    <w:rPr>
      <w:i/>
      <w:iCs/>
      <w:color w:val="404040" w:themeColor="text1" w:themeTint="BF"/>
    </w:rPr>
  </w:style>
  <w:style w:type="character" w:customStyle="1" w:styleId="QuoteChar">
    <w:name w:val="Quote Char"/>
    <w:basedOn w:val="DefaultParagraphFont"/>
    <w:link w:val="Quote"/>
    <w:uiPriority w:val="29"/>
    <w:rsid w:val="00003CFA"/>
    <w:rPr>
      <w:i/>
      <w:iCs/>
      <w:color w:val="404040" w:themeColor="text1" w:themeTint="BF"/>
    </w:rPr>
  </w:style>
  <w:style w:type="paragraph" w:styleId="ListParagraph">
    <w:name w:val="List Paragraph"/>
    <w:basedOn w:val="Normal"/>
    <w:uiPriority w:val="34"/>
    <w:qFormat/>
    <w:rsid w:val="00003CFA"/>
    <w:pPr>
      <w:ind w:left="720"/>
      <w:contextualSpacing/>
    </w:pPr>
  </w:style>
  <w:style w:type="character" w:styleId="IntenseEmphasis">
    <w:name w:val="Intense Emphasis"/>
    <w:basedOn w:val="DefaultParagraphFont"/>
    <w:uiPriority w:val="21"/>
    <w:qFormat/>
    <w:rsid w:val="00003CFA"/>
    <w:rPr>
      <w:i/>
      <w:iCs/>
      <w:color w:val="0F4761" w:themeColor="accent1" w:themeShade="BF"/>
    </w:rPr>
  </w:style>
  <w:style w:type="paragraph" w:styleId="IntenseQuote">
    <w:name w:val="Intense Quote"/>
    <w:basedOn w:val="Normal"/>
    <w:next w:val="Normal"/>
    <w:link w:val="IntenseQuoteChar"/>
    <w:uiPriority w:val="30"/>
    <w:qFormat/>
    <w:rsid w:val="00003C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CFA"/>
    <w:rPr>
      <w:i/>
      <w:iCs/>
      <w:color w:val="0F4761" w:themeColor="accent1" w:themeShade="BF"/>
    </w:rPr>
  </w:style>
  <w:style w:type="character" w:styleId="IntenseReference">
    <w:name w:val="Intense Reference"/>
    <w:basedOn w:val="DefaultParagraphFont"/>
    <w:uiPriority w:val="32"/>
    <w:qFormat/>
    <w:rsid w:val="00003CFA"/>
    <w:rPr>
      <w:b/>
      <w:bCs/>
      <w:smallCaps/>
      <w:color w:val="0F4761" w:themeColor="accent1" w:themeShade="BF"/>
      <w:spacing w:val="5"/>
    </w:rPr>
  </w:style>
  <w:style w:type="table" w:styleId="TableGrid">
    <w:name w:val="Table Grid"/>
    <w:basedOn w:val="TableNormal"/>
    <w:uiPriority w:val="39"/>
    <w:rsid w:val="00003CF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3</Pages>
  <Words>743</Words>
  <Characters>4092</Characters>
  <Application>Microsoft Office Word</Application>
  <DocSecurity>0</DocSecurity>
  <Lines>235</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Noble, Jackie</dc:creator>
  <cp:keywords/>
  <dc:description/>
  <cp:lastModifiedBy>Podmore,Helen</cp:lastModifiedBy>
  <cp:revision>20</cp:revision>
  <dcterms:created xsi:type="dcterms:W3CDTF">2025-07-07T15:39:00Z</dcterms:created>
  <dcterms:modified xsi:type="dcterms:W3CDTF">2026-01-12T10:18:00Z</dcterms:modified>
</cp:coreProperties>
</file>